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05F22" w:rsidRPr="00B57B36" w14:paraId="1200947B" w14:textId="77777777" w:rsidTr="00267832">
        <w:trPr>
          <w:trHeight w:val="852"/>
          <w:jc w:val="center"/>
        </w:trPr>
        <w:tc>
          <w:tcPr>
            <w:tcW w:w="6946" w:type="dxa"/>
            <w:vMerge w:val="restart"/>
            <w:tcBorders>
              <w:right w:val="single" w:sz="4" w:space="0" w:color="auto"/>
            </w:tcBorders>
          </w:tcPr>
          <w:p w14:paraId="4D074B2A" w14:textId="77777777" w:rsidR="00F05F22" w:rsidRPr="00B57B36" w:rsidRDefault="00F05F22" w:rsidP="00267832">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e-DE" w:eastAsia="de-DE"/>
              </w:rPr>
              <w:drawing>
                <wp:inline distT="0" distB="0" distL="0" distR="0" wp14:anchorId="6E3692DA" wp14:editId="3EAC997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BDB6E97" w14:textId="77777777" w:rsidR="00F05F22" w:rsidRPr="00B57B36" w:rsidRDefault="00F05F22" w:rsidP="00267832">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3" w:type="dxa"/>
            <w:tcBorders>
              <w:left w:val="single" w:sz="4" w:space="0" w:color="auto"/>
              <w:bottom w:val="nil"/>
              <w:right w:val="single" w:sz="4" w:space="0" w:color="auto"/>
            </w:tcBorders>
          </w:tcPr>
          <w:p w14:paraId="1C2E52A7" w14:textId="77777777" w:rsidR="00F05F22" w:rsidRPr="00B57B36" w:rsidRDefault="00F05F22" w:rsidP="00267832">
            <w:pPr>
              <w:spacing w:line="140" w:lineRule="atLeast"/>
              <w:jc w:val="right"/>
              <w:rPr>
                <w:rFonts w:cs="Arial"/>
                <w:sz w:val="14"/>
                <w:szCs w:val="14"/>
              </w:rPr>
            </w:pPr>
            <w:r w:rsidRPr="00B57B36">
              <w:rPr>
                <w:rFonts w:cs="Arial"/>
                <w:sz w:val="14"/>
                <w:szCs w:val="14"/>
              </w:rPr>
              <w:t>A publication of</w:t>
            </w:r>
          </w:p>
          <w:p w14:paraId="38258232" w14:textId="77777777" w:rsidR="00F05F22" w:rsidRPr="00B57B36" w:rsidRDefault="00F05F22" w:rsidP="00267832">
            <w:pPr>
              <w:jc w:val="right"/>
            </w:pPr>
            <w:r w:rsidRPr="00B57B36">
              <w:rPr>
                <w:noProof/>
                <w:lang w:val="de-DE" w:eastAsia="de-DE"/>
              </w:rPr>
              <w:drawing>
                <wp:inline distT="0" distB="0" distL="0" distR="0" wp14:anchorId="7E87AC1D" wp14:editId="35E2BE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05F22" w:rsidRPr="00B57B36" w14:paraId="45F87BD8" w14:textId="77777777" w:rsidTr="00267832">
        <w:trPr>
          <w:trHeight w:val="567"/>
          <w:jc w:val="center"/>
        </w:trPr>
        <w:tc>
          <w:tcPr>
            <w:tcW w:w="6946" w:type="dxa"/>
            <w:vMerge/>
            <w:tcBorders>
              <w:right w:val="single" w:sz="4" w:space="0" w:color="auto"/>
            </w:tcBorders>
          </w:tcPr>
          <w:p w14:paraId="3B4CDDC5" w14:textId="77777777" w:rsidR="00F05F22" w:rsidRPr="00B57B36" w:rsidRDefault="00F05F22" w:rsidP="00267832">
            <w:pPr>
              <w:tabs>
                <w:tab w:val="left" w:pos="-108"/>
              </w:tabs>
            </w:pPr>
          </w:p>
        </w:tc>
        <w:tc>
          <w:tcPr>
            <w:tcW w:w="1843" w:type="dxa"/>
            <w:tcBorders>
              <w:left w:val="single" w:sz="4" w:space="0" w:color="auto"/>
              <w:bottom w:val="nil"/>
              <w:right w:val="single" w:sz="4" w:space="0" w:color="auto"/>
            </w:tcBorders>
          </w:tcPr>
          <w:p w14:paraId="0EE4930E" w14:textId="77777777" w:rsidR="00F05F22" w:rsidRPr="00B57B36" w:rsidRDefault="00F05F22" w:rsidP="00267832">
            <w:pPr>
              <w:spacing w:line="140" w:lineRule="atLeast"/>
              <w:jc w:val="right"/>
              <w:rPr>
                <w:rFonts w:cs="Arial"/>
                <w:sz w:val="14"/>
                <w:szCs w:val="14"/>
              </w:rPr>
            </w:pPr>
            <w:r w:rsidRPr="00B57B36">
              <w:rPr>
                <w:rFonts w:cs="Arial"/>
                <w:sz w:val="14"/>
                <w:szCs w:val="14"/>
              </w:rPr>
              <w:t>The Italian Association</w:t>
            </w:r>
          </w:p>
          <w:p w14:paraId="71EA344F" w14:textId="77777777" w:rsidR="00F05F22" w:rsidRPr="00B57B36" w:rsidRDefault="00F05F22" w:rsidP="00267832">
            <w:pPr>
              <w:spacing w:line="140" w:lineRule="atLeast"/>
              <w:jc w:val="right"/>
              <w:rPr>
                <w:rFonts w:cs="Arial"/>
                <w:sz w:val="14"/>
                <w:szCs w:val="14"/>
              </w:rPr>
            </w:pPr>
            <w:r w:rsidRPr="00B57B36">
              <w:rPr>
                <w:rFonts w:cs="Arial"/>
                <w:sz w:val="14"/>
                <w:szCs w:val="14"/>
              </w:rPr>
              <w:t>of Chemical Engineering</w:t>
            </w:r>
          </w:p>
          <w:p w14:paraId="40E5ABB1" w14:textId="77777777" w:rsidR="00F05F22" w:rsidRPr="000D0268" w:rsidRDefault="00F05F22" w:rsidP="00267832">
            <w:pPr>
              <w:spacing w:line="140" w:lineRule="atLeast"/>
              <w:jc w:val="right"/>
              <w:rPr>
                <w:rFonts w:cs="Arial"/>
                <w:sz w:val="13"/>
                <w:szCs w:val="13"/>
              </w:rPr>
            </w:pPr>
            <w:r w:rsidRPr="000D0268">
              <w:rPr>
                <w:rFonts w:cs="Arial"/>
                <w:sz w:val="13"/>
                <w:szCs w:val="13"/>
              </w:rPr>
              <w:t>Online at www.cetjournal.it</w:t>
            </w:r>
          </w:p>
        </w:tc>
      </w:tr>
      <w:tr w:rsidR="00F05F22" w:rsidRPr="00B57B36" w14:paraId="40EA0E62" w14:textId="77777777" w:rsidTr="00267832">
        <w:trPr>
          <w:trHeight w:val="68"/>
          <w:jc w:val="center"/>
        </w:trPr>
        <w:tc>
          <w:tcPr>
            <w:tcW w:w="8789" w:type="dxa"/>
            <w:gridSpan w:val="2"/>
          </w:tcPr>
          <w:p w14:paraId="68B3DF70" w14:textId="77777777" w:rsidR="00F05F22" w:rsidRPr="005E7C48" w:rsidRDefault="00F05F22" w:rsidP="00267832">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 xml:space="preserve">Guest </w:t>
            </w:r>
            <w:proofErr w:type="spellStart"/>
            <w:r w:rsidRPr="003A6FC6">
              <w:rPr>
                <w:rFonts w:ascii="Tahoma" w:hAnsi="Tahoma" w:cs="Tahoma"/>
                <w:iCs/>
                <w:color w:val="333333"/>
                <w:sz w:val="14"/>
                <w:szCs w:val="14"/>
                <w:lang w:val="it-IT" w:eastAsia="it-IT"/>
              </w:rPr>
              <w:t>Editors</w:t>
            </w:r>
            <w:proofErr w:type="spellEnd"/>
            <w:r w:rsidRPr="003A6FC6">
              <w:rPr>
                <w:rFonts w:ascii="Tahoma" w:hAnsi="Tahoma" w:cs="Tahoma"/>
                <w:iCs/>
                <w:color w:val="333333"/>
                <w:sz w:val="14"/>
                <w:szCs w:val="14"/>
                <w:lang w:val="it-IT" w:eastAsia="it-IT"/>
              </w:rPr>
              <w:t>:</w:t>
            </w:r>
            <w:r w:rsidRPr="003A6FC6">
              <w:rPr>
                <w:rFonts w:ascii="Tahoma" w:hAnsi="Tahoma" w:cs="Tahoma"/>
                <w:color w:val="000000"/>
                <w:sz w:val="14"/>
                <w:szCs w:val="14"/>
                <w:shd w:val="clear" w:color="auto" w:fill="FFFFFF"/>
                <w:lang w:val="it-IT"/>
              </w:rPr>
              <w:t xml:space="preserve"> </w:t>
            </w:r>
            <w:r w:rsidRPr="005E7C48">
              <w:rPr>
                <w:sz w:val="14"/>
                <w:szCs w:val="14"/>
                <w:lang w:val="it-IT"/>
              </w:rPr>
              <w:t xml:space="preserve">David </w:t>
            </w:r>
            <w:proofErr w:type="spellStart"/>
            <w:r w:rsidRPr="005E7C48">
              <w:rPr>
                <w:sz w:val="14"/>
                <w:szCs w:val="14"/>
                <w:lang w:val="it-IT"/>
              </w:rPr>
              <w:t>Bogle</w:t>
            </w:r>
            <w:proofErr w:type="spellEnd"/>
            <w:r w:rsidRPr="005E7C48">
              <w:rPr>
                <w:sz w:val="14"/>
                <w:szCs w:val="14"/>
                <w:lang w:val="it-IT"/>
              </w:rPr>
              <w:t>, Flavio Manenti, Piero Salatino</w:t>
            </w:r>
          </w:p>
          <w:p w14:paraId="578FC0F3" w14:textId="77777777" w:rsidR="00F05F22" w:rsidRPr="00B57B36" w:rsidRDefault="00F05F22" w:rsidP="00267832">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81206-04-5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65BFE58" w14:textId="12A42C3A" w:rsidR="00DB42CB" w:rsidRDefault="00DB42CB" w:rsidP="00F05F22">
      <w:pPr>
        <w:pStyle w:val="CETTitle"/>
      </w:pPr>
      <w:r w:rsidRPr="00DB42CB">
        <w:t>Demand side management implementation in downstream digestate treatment of a biomethane biorefinery</w:t>
      </w:r>
    </w:p>
    <w:p w14:paraId="72E437A5" w14:textId="743BAE87" w:rsidR="00DB42CB" w:rsidRPr="00F35392" w:rsidRDefault="00DB42CB" w:rsidP="00F05F22">
      <w:pPr>
        <w:pStyle w:val="CETAuthors"/>
        <w:rPr>
          <w:lang w:val="de-DE"/>
        </w:rPr>
      </w:pPr>
      <w:r w:rsidRPr="00F35392">
        <w:rPr>
          <w:lang w:val="de-DE"/>
        </w:rPr>
        <w:t>Lilli Sophia Röder</w:t>
      </w:r>
      <w:r w:rsidRPr="00F35392">
        <w:rPr>
          <w:vertAlign w:val="superscript"/>
          <w:lang w:val="de-DE"/>
        </w:rPr>
        <w:t>a</w:t>
      </w:r>
      <w:r w:rsidRPr="00F35392">
        <w:rPr>
          <w:lang w:val="de-DE"/>
        </w:rPr>
        <w:t>*, A. Gröngröft</w:t>
      </w:r>
      <w:r w:rsidRPr="00F35392">
        <w:rPr>
          <w:vertAlign w:val="superscript"/>
          <w:lang w:val="de-DE"/>
        </w:rPr>
        <w:t>a</w:t>
      </w:r>
      <w:r w:rsidRPr="00F35392">
        <w:rPr>
          <w:lang w:val="de-DE"/>
        </w:rPr>
        <w:t>, M. Grünewald</w:t>
      </w:r>
      <w:r w:rsidRPr="00F35392">
        <w:rPr>
          <w:vertAlign w:val="superscript"/>
          <w:lang w:val="de-DE"/>
        </w:rPr>
        <w:t>b</w:t>
      </w:r>
      <w:r w:rsidRPr="00F35392">
        <w:rPr>
          <w:lang w:val="de-DE"/>
        </w:rPr>
        <w:t>, J. Riese</w:t>
      </w:r>
      <w:r w:rsidRPr="00F35392">
        <w:rPr>
          <w:vertAlign w:val="superscript"/>
          <w:lang w:val="de-DE"/>
        </w:rPr>
        <w:t>b</w:t>
      </w:r>
    </w:p>
    <w:p w14:paraId="1C40E56E" w14:textId="77777777" w:rsidR="009B6580" w:rsidRPr="009B6580" w:rsidRDefault="00B57E6F" w:rsidP="00F05F22">
      <w:pPr>
        <w:pStyle w:val="CETAddress"/>
        <w:rPr>
          <w:lang w:val="de-DE"/>
        </w:rPr>
      </w:pPr>
      <w:r w:rsidRPr="009B6580">
        <w:rPr>
          <w:vertAlign w:val="superscript"/>
          <w:lang w:val="de-DE"/>
        </w:rPr>
        <w:t>a</w:t>
      </w:r>
      <w:r w:rsidR="00DB42CB" w:rsidRPr="009B6580">
        <w:rPr>
          <w:lang w:val="de-DE"/>
        </w:rPr>
        <w:t xml:space="preserve"> DBFZ - Deutsches Biomasseforschungszentrum gemeinnützige GmbH, Department of Biorefineries, Leipzig/</w:t>
      </w:r>
      <w:r w:rsidR="00662BE6" w:rsidRPr="009B6580">
        <w:rPr>
          <w:lang w:val="de-DE"/>
        </w:rPr>
        <w:t>Germany</w:t>
      </w:r>
      <w:r w:rsidR="00DB42CB" w:rsidRPr="009B6580">
        <w:rPr>
          <w:lang w:val="de-DE"/>
        </w:rPr>
        <w:t xml:space="preserve">; </w:t>
      </w:r>
    </w:p>
    <w:p w14:paraId="3D72B0B0" w14:textId="627ACE15" w:rsidR="00B57E6F" w:rsidRPr="006E403E" w:rsidRDefault="00B57E6F" w:rsidP="00F05F22">
      <w:pPr>
        <w:pStyle w:val="CETAddress"/>
        <w:rPr>
          <w:lang w:val="en-US"/>
        </w:rPr>
      </w:pPr>
      <w:r w:rsidRPr="006E403E">
        <w:rPr>
          <w:vertAlign w:val="superscript"/>
          <w:lang w:val="en-US"/>
        </w:rPr>
        <w:t>b</w:t>
      </w:r>
      <w:r w:rsidR="00DB42CB" w:rsidRPr="006E403E">
        <w:rPr>
          <w:lang w:val="en-US"/>
        </w:rPr>
        <w:t xml:space="preserve"> </w:t>
      </w:r>
      <w:r w:rsidR="00662BE6" w:rsidRPr="006E403E">
        <w:rPr>
          <w:lang w:val="en-US"/>
        </w:rPr>
        <w:t>Ruhr University</w:t>
      </w:r>
      <w:r w:rsidR="00DB42CB" w:rsidRPr="006E403E">
        <w:rPr>
          <w:lang w:val="en-US"/>
        </w:rPr>
        <w:t xml:space="preserve"> Bochum, Faculty of Mechanical Engineering, Laboratory of Fluid Separation, Bochum/</w:t>
      </w:r>
      <w:r w:rsidR="00662BE6" w:rsidRPr="006E403E">
        <w:rPr>
          <w:lang w:val="en-US"/>
        </w:rPr>
        <w:t>Germany</w:t>
      </w:r>
      <w:r w:rsidR="00DB42CB" w:rsidRPr="006E403E">
        <w:rPr>
          <w:lang w:val="en-US"/>
        </w:rPr>
        <w:t>;</w:t>
      </w:r>
    </w:p>
    <w:p w14:paraId="73F1267A" w14:textId="29871D9F" w:rsidR="00B57E6F" w:rsidRPr="00F35392" w:rsidRDefault="00DB42CB" w:rsidP="00F05F22">
      <w:pPr>
        <w:pStyle w:val="CETAddress"/>
        <w:rPr>
          <w:lang w:val="en-US"/>
        </w:rPr>
      </w:pPr>
      <w:r w:rsidRPr="00F35392">
        <w:rPr>
          <w:lang w:val="en-US"/>
        </w:rPr>
        <w:t xml:space="preserve">* </w:t>
      </w:r>
      <w:hyperlink r:id="rId13" w:history="1">
        <w:r w:rsidRPr="00F35392">
          <w:rPr>
            <w:rStyle w:val="Hyperlink"/>
            <w:lang w:val="en-US"/>
          </w:rPr>
          <w:t>lilli.sophia.roeder@dbfz.de</w:t>
        </w:r>
      </w:hyperlink>
    </w:p>
    <w:p w14:paraId="5CA98F0C" w14:textId="4CFF0417" w:rsidR="00C44B7F" w:rsidRDefault="00C44B7F" w:rsidP="00C44B7F">
      <w:pPr>
        <w:pStyle w:val="CETBodytext"/>
      </w:pPr>
      <w:bookmarkStart w:id="0" w:name="_Toc127531179"/>
      <w:bookmarkStart w:id="1" w:name="_Toc127779435"/>
    </w:p>
    <w:p w14:paraId="197E77C3" w14:textId="0AAA75D6" w:rsidR="00A9409D" w:rsidRPr="00A9409D" w:rsidRDefault="00A9409D" w:rsidP="00A9409D">
      <w:pPr>
        <w:pStyle w:val="CETBodytext"/>
      </w:pPr>
      <w:r w:rsidRPr="00A9409D">
        <w:t>For the</w:t>
      </w:r>
      <w:r w:rsidR="00662BE6">
        <w:t xml:space="preserve"> efficient</w:t>
      </w:r>
      <w:r w:rsidRPr="00A9409D">
        <w:t xml:space="preserve"> conversion of </w:t>
      </w:r>
      <w:r w:rsidR="00010CAB">
        <w:t xml:space="preserve">fossil-based </w:t>
      </w:r>
      <w:r w:rsidRPr="00A9409D">
        <w:t>process energy to renewable energies such as solar and wind, the energy demand of biomass processing must be flexibly adjustable to this fluctuating electricity</w:t>
      </w:r>
      <w:r w:rsidR="00662BE6">
        <w:t xml:space="preserve"> supply</w:t>
      </w:r>
      <w:r w:rsidRPr="00A9409D">
        <w:t xml:space="preserve">. Adjusting a system's power demand to follow the current power generation is commonly referred to as demand side management (DSM). </w:t>
      </w:r>
    </w:p>
    <w:p w14:paraId="3A5A0075" w14:textId="7A72853C" w:rsidR="00A9409D" w:rsidRPr="00A9409D" w:rsidRDefault="00010CAB" w:rsidP="00A9409D">
      <w:pPr>
        <w:pStyle w:val="CETBodytext"/>
        <w:rPr>
          <w:b/>
          <w:sz w:val="20"/>
        </w:rPr>
      </w:pPr>
      <w:r>
        <w:t>One option to increase</w:t>
      </w:r>
      <w:r w:rsidR="00A9409D" w:rsidRPr="00A9409D">
        <w:t xml:space="preserve"> the flexibility of continuously operated processes entails oversizing the process. DSM strategies result in shutting down a process, and thus electricity being purchased at times of low prices, which can, in turn, lead to monetary benefits. From an economic point of view, this, however, leads to an increase in investment and, thus capital costs. </w:t>
      </w:r>
      <w:r w:rsidRPr="00010CAB">
        <w:t>Implementing DSM only serves an economic purpose if these monetary benefits exceed the increase in capital costs.</w:t>
      </w:r>
      <w:r w:rsidR="00A9409D" w:rsidRPr="00A9409D">
        <w:t xml:space="preserve"> The main goal of this contribution is to present the results of a study </w:t>
      </w:r>
      <w:r w:rsidR="00345B2A">
        <w:t>on</w:t>
      </w:r>
      <w:r w:rsidR="00345B2A" w:rsidRPr="00A9409D">
        <w:t xml:space="preserve"> </w:t>
      </w:r>
      <w:r w:rsidR="00A9409D" w:rsidRPr="00A9409D">
        <w:t xml:space="preserve">the economic DSM potential </w:t>
      </w:r>
      <w:r w:rsidR="00345B2A" w:rsidRPr="00A9409D">
        <w:t>for</w:t>
      </w:r>
      <w:r w:rsidR="00345B2A">
        <w:t xml:space="preserve"> an optimally over</w:t>
      </w:r>
      <w:r w:rsidR="00DB0120">
        <w:t>sized</w:t>
      </w:r>
      <w:r w:rsidR="00345B2A">
        <w:t xml:space="preserve"> </w:t>
      </w:r>
      <w:r w:rsidR="00345B2A" w:rsidRPr="00A9409D">
        <w:t>industrial process</w:t>
      </w:r>
      <w:r w:rsidR="00A9409D" w:rsidRPr="00A9409D">
        <w:t xml:space="preserve">. </w:t>
      </w:r>
      <w:r w:rsidRPr="00010CAB">
        <w:t>The economic DSM potential for a specific process within a biomethane production plant is calculated in a biorefinery case study.</w:t>
      </w:r>
      <w:r w:rsidR="00A9409D" w:rsidRPr="00A9409D">
        <w:t xml:space="preserve"> </w:t>
      </w:r>
      <w:r w:rsidRPr="00010CAB">
        <w:t>The main results show that in terms of oversizing processes for DSM purposes, a lower value of 100</w:t>
      </w:r>
      <w:r w:rsidR="009D0BE1">
        <w:t> %</w:t>
      </w:r>
      <w:r w:rsidRPr="00010CAB">
        <w:t xml:space="preserve"> was found using dynamic optimization compared to 209.8</w:t>
      </w:r>
      <w:r w:rsidR="009D0BE1">
        <w:t> %</w:t>
      </w:r>
      <w:r w:rsidRPr="00010CAB">
        <w:t xml:space="preserve"> using </w:t>
      </w:r>
      <w:r w:rsidR="0070417C">
        <w:t>steady-state</w:t>
      </w:r>
      <w:r w:rsidRPr="00010CAB">
        <w:t xml:space="preserve"> optimization.</w:t>
      </w:r>
      <w:r>
        <w:t xml:space="preserve"> </w:t>
      </w:r>
      <w:r w:rsidR="00A9409D" w:rsidRPr="00A9409D">
        <w:t xml:space="preserve">Due to the more realistic assumptions in dynamic optimization, these values are more </w:t>
      </w:r>
      <w:r>
        <w:t>realizable in real plants</w:t>
      </w:r>
      <w:r w:rsidR="00A9409D" w:rsidRPr="00A9409D">
        <w:t>.</w:t>
      </w:r>
    </w:p>
    <w:p w14:paraId="476B2F2E" w14:textId="1C63C3C4" w:rsidR="00600535" w:rsidRPr="00B57B36" w:rsidRDefault="00C44B7F" w:rsidP="00A9409D">
      <w:pPr>
        <w:pStyle w:val="CETHeading1"/>
      </w:pPr>
      <w:r w:rsidRPr="00237A1E">
        <w:t>I</w:t>
      </w:r>
      <w:r w:rsidR="00600535" w:rsidRPr="00237A1E">
        <w:t>ntroduction</w:t>
      </w:r>
      <w:bookmarkEnd w:id="0"/>
      <w:bookmarkEnd w:id="1"/>
    </w:p>
    <w:p w14:paraId="694FA795" w14:textId="236147CC" w:rsidR="00A9409D" w:rsidRDefault="00A9409D" w:rsidP="00A9409D">
      <w:pPr>
        <w:pStyle w:val="CETBodytext"/>
      </w:pPr>
      <w:r>
        <w:t xml:space="preserve">The constant expansion of renewable energy sources </w:t>
      </w:r>
      <w:r w:rsidR="00F54555">
        <w:t>causes</w:t>
      </w:r>
      <w:r>
        <w:t xml:space="preserve"> fluctuations in electricity supply. These volatilities in supply </w:t>
      </w:r>
      <w:r w:rsidR="00F54555">
        <w:t>combined with un</w:t>
      </w:r>
      <w:r>
        <w:t>synchronized demand</w:t>
      </w:r>
      <w:r w:rsidR="00F54555">
        <w:t>,</w:t>
      </w:r>
      <w:r>
        <w:t xml:space="preserve"> inevitably lead to volatility of electricity prices. </w:t>
      </w:r>
      <w:r w:rsidR="00F54555" w:rsidRPr="00F54555">
        <w:t>Faced with such volatility, however, electricity consumers can adjust their energy consumption and thus save electricity costs by synchronizing demand to fluctuating prices.</w:t>
      </w:r>
      <w:r w:rsidR="00F54555">
        <w:t xml:space="preserve"> This</w:t>
      </w:r>
      <w:r>
        <w:t xml:space="preserve"> adjustment is generally referred to as Demand Side Management (DSM).   </w:t>
      </w:r>
    </w:p>
    <w:p w14:paraId="61093ED6" w14:textId="0AE38C4C" w:rsidR="0071465A" w:rsidRPr="004D5F70" w:rsidRDefault="004D5F70" w:rsidP="004D5F70">
      <w:pPr>
        <w:pBdr>
          <w:top w:val="nil"/>
          <w:left w:val="nil"/>
          <w:bottom w:val="nil"/>
          <w:right w:val="nil"/>
          <w:between w:val="nil"/>
        </w:pBdr>
      </w:pPr>
      <w:r w:rsidRPr="00E94988">
        <w:rPr>
          <w:rFonts w:eastAsia="Arial" w:cs="Arial"/>
          <w:color w:val="000000"/>
          <w:szCs w:val="18"/>
        </w:rPr>
        <w:t xml:space="preserve">DSM strategies are based on flexibly switching a process on and off, so that electricity is thereby purchased at times of low prices. This can naturally </w:t>
      </w:r>
      <w:r>
        <w:rPr>
          <w:rFonts w:eastAsia="Arial" w:cs="Arial"/>
          <w:color w:val="000000"/>
          <w:szCs w:val="18"/>
        </w:rPr>
        <w:t>l</w:t>
      </w:r>
      <w:r w:rsidRPr="00E94988">
        <w:rPr>
          <w:rFonts w:eastAsia="Arial" w:cs="Arial"/>
          <w:color w:val="000000"/>
          <w:szCs w:val="18"/>
        </w:rPr>
        <w:t xml:space="preserve">ead to monetary benefits. For continuously operated processes that are required to produce the same amount of product in a specific period of time, flexibility entails oversizing the process. From an economic point of view, however, this leads to an increase in investment and, thus, capital costs. It is only when these monetary benefits exceed the increase in capital costs that implementing a defined DSM strategy serves an economic purpose.  </w:t>
      </w:r>
    </w:p>
    <w:p w14:paraId="11981414" w14:textId="319E1061" w:rsidR="00A9409D" w:rsidRDefault="00A9409D" w:rsidP="00A9409D">
      <w:pPr>
        <w:pStyle w:val="CETBodytext"/>
      </w:pPr>
      <w:r>
        <w:t xml:space="preserve">Röder et al. </w:t>
      </w:r>
      <w:r>
        <w:fldChar w:fldCharType="begin"/>
      </w:r>
      <w:r>
        <w:instrText>ADDIN CITAVI.PLACEHOLDER 5863b9eb-40e8-4184-a8e3-494c0d86e8fe PFBsYWNlaG9sZGVyPg0KICA8QWRkSW5WZXJzaW9uPjUuNy4wLjA8L0FkZEluVmVyc2lvbj4NCiAgPElkPjU4NjNiOWViLTQwZTgtNDE4NC1hOGUzLTQ5NGMwZDg2ZThmZTwvSWQ+DQogIDxFbnRyaWVzPg0KICAgIDxFbnRyeT4NCiAgICAgIDxJZD43NDIxZDIwMi00MzFkLTQzNjktOTQ3Ni0xNWU5ZDJlYjAzMzU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fldChar w:fldCharType="separate"/>
      </w:r>
      <w:bookmarkStart w:id="2" w:name="_CTVP0015863b9eb40e84184a8e3494c0d86e8fe"/>
      <w:r>
        <w:t>(2023)</w:t>
      </w:r>
      <w:bookmarkEnd w:id="2"/>
      <w:r>
        <w:fldChar w:fldCharType="end"/>
      </w:r>
      <w:r>
        <w:t xml:space="preserve"> have developed a </w:t>
      </w:r>
      <w:r w:rsidR="00EF0706">
        <w:t>decision support tool</w:t>
      </w:r>
      <w:r>
        <w:t xml:space="preserve"> that helps to quickly determine the </w:t>
      </w:r>
      <w:r w:rsidR="00010CAB">
        <w:t xml:space="preserve">economic </w:t>
      </w:r>
      <w:r>
        <w:t xml:space="preserve">suitability of a process for DSM application </w:t>
      </w:r>
      <w:r w:rsidR="004D5F70">
        <w:t>—</w:t>
      </w:r>
      <w:r>
        <w:t xml:space="preserve"> a decision support tool for plant </w:t>
      </w:r>
      <w:r w:rsidR="00010CAB">
        <w:t>design</w:t>
      </w:r>
      <w:r>
        <w:t xml:space="preserve"> that can be applied to any process. In the past, well-known processes such as different types of electrolysis and desalination plants have often been the focus of calculations involving complex optimization strategies and dynamic simulations of DSM strategies. New processes, </w:t>
      </w:r>
      <w:r w:rsidR="004D5F70">
        <w:t>such as</w:t>
      </w:r>
      <w:r>
        <w:t xml:space="preserve"> downstream digestate treatment, can </w:t>
      </w:r>
      <w:r w:rsidR="004D5F70">
        <w:t xml:space="preserve">also </w:t>
      </w:r>
      <w:r>
        <w:t xml:space="preserve">be investigated with </w:t>
      </w:r>
      <w:r w:rsidR="004D5F70" w:rsidRPr="004D5F70">
        <w:t xml:space="preserve">Röder et al.'s </w:t>
      </w:r>
      <w:r>
        <w:t xml:space="preserve">developed </w:t>
      </w:r>
      <w:r w:rsidR="00EF0706">
        <w:t>decision support tool</w:t>
      </w:r>
      <w:r>
        <w:t xml:space="preserve">.  </w:t>
      </w:r>
    </w:p>
    <w:p w14:paraId="56B9F0DF" w14:textId="06EC86AF" w:rsidR="000F2495" w:rsidRDefault="000F2495" w:rsidP="00A9409D">
      <w:pPr>
        <w:pStyle w:val="CETBodytext"/>
      </w:pPr>
      <w:r>
        <w:t>T</w:t>
      </w:r>
      <w:r w:rsidRPr="00432840">
        <w:t>his tool is primarily intended for use as a theoretical aid and does not provide an accurate representation of the actual implementation of DSM.</w:t>
      </w:r>
      <w:r>
        <w:t xml:space="preserve"> </w:t>
      </w:r>
      <w:r w:rsidR="00A9409D">
        <w:t>In the</w:t>
      </w:r>
      <w:r w:rsidR="004D5F70">
        <w:t>ir</w:t>
      </w:r>
      <w:r w:rsidR="00A9409D">
        <w:t xml:space="preserve"> </w:t>
      </w:r>
      <w:r w:rsidR="004D5F70">
        <w:t>study,</w:t>
      </w:r>
      <w:r w:rsidR="00A9409D">
        <w:t xml:space="preserve"> Röder et al. </w:t>
      </w:r>
      <w:r w:rsidR="00A9409D">
        <w:fldChar w:fldCharType="begin"/>
      </w:r>
      <w:r w:rsidR="00A9409D">
        <w:instrText>ADDIN CITAVI.PLACEHOLDER 5863b9eb-40e8-4184-a8e3-494c0d86e8fe PFBsYWNlaG9sZGVyPg0KICA8QWRkSW5WZXJzaW9uPjUuNy4wLjA8L0FkZEluVmVyc2lvbj4NCiAgPElkPjU4NjNiOWViLTQwZTgtNDE4NC1hOGUzLTQ5NGMwZDg2ZThmZTwvSWQ+DQogIDxFbnRyaWVzPg0KICAgIDxFbnRyeT4NCiAgICAgIDxJZD43NDIxZDIwMi00MzFkLTQzNjktOTQ3Ni0xNWU5ZDJlYjAzMzU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rsidR="00A9409D">
        <w:fldChar w:fldCharType="separate"/>
      </w:r>
      <w:r w:rsidR="00A9409D">
        <w:t>(2023)</w:t>
      </w:r>
      <w:r w:rsidR="00A9409D">
        <w:fldChar w:fldCharType="end"/>
      </w:r>
      <w:r w:rsidR="004D5F70">
        <w:t xml:space="preserve"> already applied</w:t>
      </w:r>
      <w:r w:rsidR="00A9409D">
        <w:t xml:space="preserve"> the </w:t>
      </w:r>
      <w:r w:rsidR="00EF0706">
        <w:t>decision support tool</w:t>
      </w:r>
      <w:r w:rsidR="00A9409D">
        <w:t xml:space="preserve"> to the entire biomethane production plant</w:t>
      </w:r>
      <w:r w:rsidR="004D5F70">
        <w:t xml:space="preserve"> recently</w:t>
      </w:r>
      <w:r w:rsidR="00A9409D">
        <w:t xml:space="preserve"> described by Etzold et al. </w:t>
      </w:r>
      <w:r w:rsidR="00A9409D">
        <w:fldChar w:fldCharType="begin"/>
      </w:r>
      <w:r w:rsidR="00A9409D">
        <w:instrText>ADDIN CITAVI.PLACEHOLDER 80f32a31-0bc6-4ac3-bfd9-3cf6f774cf13 PFBsYWNlaG9sZGVyPg0KICA8QWRkSW5WZXJzaW9uPjUuNy4wLjA8L0FkZEluVmVyc2lvbj4NCiAgPElkPjgwZjMyYTMxLTBiYzYtNGFjMy1iZmQ5LTNjZjZmNzc0Y2YxMzwvSWQ+DQogIDxFbnRyaWVzPg0KICAgIDxFbnRyeT4NCiAgICAgIDxJZD4wZDFlMThmYS1iNmE1LTQxODktYTlmNy02Njc4MDA0NDQ4NDc8L0lkPg0KICAgICAgPFJlZmVyZW5jZUlkPjgxYjI0ZmVhLWVlZTEtNDk4OS1iMjNmLTdlMzYwY2VhMTRiZ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IzKTwvVGV4dD4NCiAgICA8L1RleHRVbml0Pg0KICA8L1RleHRVbml0cz4NCjwvUGxhY2Vob2xkZXI+</w:instrText>
      </w:r>
      <w:r w:rsidR="00A9409D">
        <w:fldChar w:fldCharType="separate"/>
      </w:r>
      <w:bookmarkStart w:id="3" w:name="_CTVP00180f32a310bc64ac3bfd93cf6f774cf13"/>
      <w:r w:rsidR="00A9409D">
        <w:t>(2023)</w:t>
      </w:r>
      <w:bookmarkEnd w:id="3"/>
      <w:r w:rsidR="00A9409D">
        <w:fldChar w:fldCharType="end"/>
      </w:r>
      <w:r w:rsidR="00A9409D">
        <w:t xml:space="preserve"> with a cascade of digestate separation processes. The</w:t>
      </w:r>
      <w:r w:rsidR="004D5F70">
        <w:t>ir</w:t>
      </w:r>
      <w:r w:rsidR="00A9409D">
        <w:t xml:space="preserve"> study showed that the decanter centrifuge has a particularly high economic DSM </w:t>
      </w:r>
      <w:r w:rsidR="00A9409D">
        <w:lastRenderedPageBreak/>
        <w:t xml:space="preserve">potential. </w:t>
      </w:r>
      <w:r w:rsidR="00B14A73" w:rsidRPr="00432840">
        <w:t xml:space="preserve">To achieve a more </w:t>
      </w:r>
      <w:r w:rsidR="00B14A73">
        <w:t>realistic</w:t>
      </w:r>
      <w:r w:rsidR="00B14A73" w:rsidRPr="00432840">
        <w:t xml:space="preserve"> assessment of the potential benefits, this paper proposes the use of simulation </w:t>
      </w:r>
      <w:r w:rsidR="00B14A73">
        <w:t xml:space="preserve">and optimization </w:t>
      </w:r>
      <w:r w:rsidR="00B14A73" w:rsidRPr="00432840">
        <w:t xml:space="preserve">with Aspen Custom </w:t>
      </w:r>
      <w:r w:rsidR="00B14A73">
        <w:t>M</w:t>
      </w:r>
      <w:r w:rsidR="00B14A73" w:rsidRPr="00432840">
        <w:t>odeler</w:t>
      </w:r>
      <w:r>
        <w:t xml:space="preserve"> (ACM)</w:t>
      </w:r>
      <w:r w:rsidR="00B14A73" w:rsidRPr="00432840">
        <w:t>.</w:t>
      </w:r>
      <w:r w:rsidR="00B14A73">
        <w:t xml:space="preserve"> </w:t>
      </w:r>
    </w:p>
    <w:p w14:paraId="638315F1" w14:textId="29E1E988" w:rsidR="00607707" w:rsidRPr="00237A1E" w:rsidRDefault="00B14A73" w:rsidP="00A9409D">
      <w:pPr>
        <w:pStyle w:val="CETBodytext"/>
      </w:pPr>
      <w:r>
        <w:t>For</w:t>
      </w:r>
      <w:r w:rsidRPr="00432840">
        <w:t xml:space="preserve"> the process </w:t>
      </w:r>
      <w:r>
        <w:t>cascade</w:t>
      </w:r>
      <w:r w:rsidRPr="00432840">
        <w:t xml:space="preserve"> that was previously analyzed by </w:t>
      </w:r>
      <w:r>
        <w:t xml:space="preserve">Röder et al. </w:t>
      </w:r>
      <w:r>
        <w:fldChar w:fldCharType="begin"/>
      </w:r>
      <w:r>
        <w:instrText>ADDIN CITAVI.PLACEHOLDER 5863b9eb-40e8-4184-a8e3-494c0d86e8fe PFBsYWNlaG9sZGVyPg0KICA8QWRkSW5WZXJzaW9uPjUuNy4wLjA8L0FkZEluVmVyc2lvbj4NCiAgPElkPjU4NjNiOWViLTQwZTgtNDE4NC1hOGUzLTQ5NGMwZDg2ZThmZTwvSWQ+DQogIDxFbnRyaWVzPg0KICAgIDxFbnRyeT4NCiAgICAgIDxJZD43NDIxZDIwMi00MzFkLTQzNjktOTQ3Ni0xNWU5ZDJlYjAzMzU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fldChar w:fldCharType="separate"/>
      </w:r>
      <w:r>
        <w:t>(2023)</w:t>
      </w:r>
      <w:r>
        <w:fldChar w:fldCharType="end"/>
      </w:r>
      <w:r w:rsidRPr="00432840">
        <w:t xml:space="preserve"> </w:t>
      </w:r>
      <w:r w:rsidR="000F2495">
        <w:t>a dynamic simulation</w:t>
      </w:r>
      <w:r w:rsidRPr="00432840">
        <w:t xml:space="preserve"> will investigate whether a comprehensive evaluation of </w:t>
      </w:r>
      <w:r w:rsidR="000F2495">
        <w:t>one of the most promising separation steps</w:t>
      </w:r>
      <w:r w:rsidRPr="00432840">
        <w:t xml:space="preserve"> can reveal </w:t>
      </w:r>
      <w:r>
        <w:t>more realistic</w:t>
      </w:r>
      <w:r w:rsidRPr="00432840">
        <w:t xml:space="preserve"> </w:t>
      </w:r>
      <w:r>
        <w:t>saving</w:t>
      </w:r>
      <w:r w:rsidRPr="00432840">
        <w:t xml:space="preserve"> opportunities.</w:t>
      </w:r>
      <w:r w:rsidR="00E0197B">
        <w:t xml:space="preserve"> </w:t>
      </w:r>
      <w:r w:rsidR="004D5F70" w:rsidRPr="004D5F70">
        <w:t>Thus, this contribution</w:t>
      </w:r>
      <w:r>
        <w:t xml:space="preserve"> </w:t>
      </w:r>
      <w:r w:rsidR="004D5F70" w:rsidRPr="004D5F70">
        <w:t>responds to that finding by examining</w:t>
      </w:r>
      <w:r w:rsidR="004D5F70">
        <w:t xml:space="preserve"> </w:t>
      </w:r>
      <w:r w:rsidR="004D5F70" w:rsidRPr="004D5F70">
        <w:t>the decanter centrifuge more closely.</w:t>
      </w:r>
      <w:r w:rsidR="00A9409D">
        <w:t xml:space="preserve"> </w:t>
      </w:r>
      <w:r w:rsidR="00976C1D" w:rsidRPr="00237A1E">
        <w:t xml:space="preserve"> </w:t>
      </w:r>
      <w:r w:rsidR="000F2495">
        <w:t xml:space="preserve">The methodology consists in employing the decision support tool to ACM and use steady state </w:t>
      </w:r>
      <w:r w:rsidR="00C0249D">
        <w:t>and dynamic optimization techniques. The optimization</w:t>
      </w:r>
      <w:r w:rsidR="000F2495">
        <w:t xml:space="preserve"> </w:t>
      </w:r>
      <w:r w:rsidR="00C0249D" w:rsidRPr="00C0249D">
        <w:t>is used to determine the sizing of the process and the up</w:t>
      </w:r>
      <w:r w:rsidR="00871EF8">
        <w:t xml:space="preserve">- </w:t>
      </w:r>
      <w:r w:rsidR="00C0249D" w:rsidRPr="00C0249D">
        <w:t xml:space="preserve">and downstream storage tanks. With known sizes, dynamic optimization may then offer a more viable view of a demand-side management deployment by </w:t>
      </w:r>
      <w:r w:rsidR="00871EF8" w:rsidRPr="00C0249D">
        <w:t>considering</w:t>
      </w:r>
      <w:r w:rsidR="00C0249D" w:rsidRPr="00C0249D">
        <w:t xml:space="preserve"> start-up and switch-off times.</w:t>
      </w:r>
    </w:p>
    <w:p w14:paraId="45F1D1F8" w14:textId="0B774831" w:rsidR="00E4233D" w:rsidRDefault="008A0BBE" w:rsidP="009119FC">
      <w:pPr>
        <w:pStyle w:val="CETHeading1"/>
        <w:tabs>
          <w:tab w:val="clear" w:pos="360"/>
          <w:tab w:val="num" w:pos="0"/>
        </w:tabs>
      </w:pPr>
      <w:bookmarkStart w:id="4" w:name="_Toc127531180"/>
      <w:bookmarkStart w:id="5" w:name="_Toc127779436"/>
      <w:bookmarkStart w:id="6" w:name="_Hlk127369177"/>
      <w:r w:rsidRPr="00241F30">
        <w:rPr>
          <w:noProof/>
        </w:rPr>
        <w:drawing>
          <wp:anchor distT="0" distB="0" distL="114300" distR="114300" simplePos="0" relativeHeight="251663360" behindDoc="0" locked="0" layoutInCell="1" allowOverlap="1" wp14:anchorId="75796512" wp14:editId="6F0CE7C0">
            <wp:simplePos x="0" y="0"/>
            <wp:positionH relativeFrom="column">
              <wp:posOffset>3234055</wp:posOffset>
            </wp:positionH>
            <wp:positionV relativeFrom="paragraph">
              <wp:posOffset>227330</wp:posOffset>
            </wp:positionV>
            <wp:extent cx="2331085" cy="366712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20" t="-1" r="249" b="-16237"/>
                    <a:stretch/>
                  </pic:blipFill>
                  <pic:spPr bwMode="auto">
                    <a:xfrm>
                      <a:off x="0" y="0"/>
                      <a:ext cx="2331085" cy="3667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33D" w:rsidRPr="009119FC">
        <w:t>Methodology</w:t>
      </w:r>
      <w:bookmarkEnd w:id="4"/>
      <w:bookmarkEnd w:id="5"/>
    </w:p>
    <w:p w14:paraId="2660F4AC" w14:textId="0BE5D70A" w:rsidR="00054DAC" w:rsidRDefault="00636084" w:rsidP="009F552C">
      <w:pPr>
        <w:pStyle w:val="CETBodytext"/>
      </w:pPr>
      <w:r>
        <w:fldChar w:fldCharType="begin"/>
      </w:r>
      <w:r>
        <w:instrText xml:space="preserve"> REF _Ref127796618 \h </w:instrText>
      </w:r>
      <w:r>
        <w:fldChar w:fldCharType="separate"/>
      </w:r>
      <w:r w:rsidR="0070417C">
        <w:t xml:space="preserve">Figure </w:t>
      </w:r>
      <w:r w:rsidR="0070417C">
        <w:rPr>
          <w:noProof/>
        </w:rPr>
        <w:t>1</w:t>
      </w:r>
      <w:r>
        <w:fldChar w:fldCharType="end"/>
      </w:r>
      <w:r w:rsidR="004D5F70" w:rsidRPr="004D5F70">
        <w:t xml:space="preserve"> graphically summarizes the methodology employed in this contribution. White boxes describe the materials used; grey boxes describe the method by which new results were obtained; and the diamond represents a decision made. </w:t>
      </w:r>
      <w:r w:rsidR="00054DAC">
        <w:t xml:space="preserve"> </w:t>
      </w:r>
      <w:r w:rsidR="009F552C" w:rsidRPr="009F552C">
        <w:t xml:space="preserve"> </w:t>
      </w:r>
    </w:p>
    <w:p w14:paraId="1516A606" w14:textId="1F1821B9" w:rsidR="00156221" w:rsidRPr="00034E8D" w:rsidRDefault="00A9409D" w:rsidP="00034E8D">
      <w:pPr>
        <w:pStyle w:val="CETBodytext"/>
        <w:rPr>
          <w:noProof/>
        </w:rPr>
      </w:pPr>
      <w:r w:rsidRPr="00A9409D">
        <w:rPr>
          <w:noProof/>
        </w:rPr>
        <w:t>Using results from the pre-investigations of Etzold et al.</w:t>
      </w:r>
      <w:r>
        <w:rPr>
          <w:noProof/>
        </w:rPr>
        <w:t xml:space="preserve"> </w:t>
      </w:r>
      <w:r>
        <w:fldChar w:fldCharType="begin"/>
      </w:r>
      <w:r>
        <w:instrText>ADDIN CITAVI.PLACEHOLDER 1869c7da-437e-44d7-a7ae-629668a58290 PFBsYWNlaG9sZGVyPg0KICA8QWRkSW5WZXJzaW9uPjUuNy4wLjA8L0FkZEluVmVyc2lvbj4NCiAgPElkPjE4NjljN2RhLTQzN2UtNDRkNy1hN2FlLTYyOTY2OGE1ODI5MDwvSWQ+DQogIDxFbnRyaWVzPg0KICAgIDxFbnRyeT4NCiAgICAgIDxJZD5lMDgwN2VhZi1lZDI1LTRmYzItOTlmNy05N2NjN2UyZDhhMDk8L0lkPg0KICAgICAgPFJlZmVyZW5jZUlkPjgxYjI0ZmVhLWVlZTEtNDk4OS1iMjNmLTdlMzYwY2VhMTRiZ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IzKTwvVGV4dD4NCiAgICA8L1RleHRVbml0Pg0KICA8L1RleHRVbml0cz4NCjwvUGxhY2Vob2xkZXI+</w:instrText>
      </w:r>
      <w:r>
        <w:fldChar w:fldCharType="separate"/>
      </w:r>
      <w:r>
        <w:t>(2023)</w:t>
      </w:r>
      <w:r>
        <w:fldChar w:fldCharType="end"/>
      </w:r>
      <w:r w:rsidRPr="00A9409D">
        <w:rPr>
          <w:noProof/>
        </w:rPr>
        <w:t xml:space="preserve"> and Röder et al. </w:t>
      </w:r>
      <w:r>
        <w:fldChar w:fldCharType="begin"/>
      </w:r>
      <w:r>
        <w:instrText>ADDIN CITAVI.PLACEHOLDER 5a7252d1-444f-413d-b5a1-6e95824ff480 PFBsYWNlaG9sZGVyPg0KICA8QWRkSW5WZXJzaW9uPjUuNy4wLjA8L0FkZEluVmVyc2lvbj4NCiAgPElkPjVhNzI1MmQxLTQ0NGYtNDEzZC1iNWExLTZlOTU4MjRmZjQ4MDwvSWQ+DQogIDxFbnRyaWVzPg0KICAgIDxFbnRyeT4NCiAgICAgIDxJZD42MWQ1NWE3ZS0yNzYzLTQ4N2UtOThlYi0xZWUzYmRhYTI0NGE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fldChar w:fldCharType="separate"/>
      </w:r>
      <w:r>
        <w:t>(2023)</w:t>
      </w:r>
      <w:r>
        <w:fldChar w:fldCharType="end"/>
      </w:r>
      <w:r>
        <w:t xml:space="preserve"> </w:t>
      </w:r>
      <w:r w:rsidRPr="00A9409D">
        <w:rPr>
          <w:noProof/>
        </w:rPr>
        <w:t xml:space="preserve">a </w:t>
      </w:r>
      <w:r w:rsidR="0070417C">
        <w:rPr>
          <w:noProof/>
        </w:rPr>
        <w:t>steady-state</w:t>
      </w:r>
      <w:r w:rsidRPr="00A9409D">
        <w:rPr>
          <w:noProof/>
        </w:rPr>
        <w:t xml:space="preserve"> optimization</w:t>
      </w:r>
      <w:r w:rsidR="00F249C0">
        <w:rPr>
          <w:noProof/>
        </w:rPr>
        <w:t xml:space="preserve"> </w:t>
      </w:r>
      <w:r w:rsidRPr="00A9409D">
        <w:rPr>
          <w:noProof/>
        </w:rPr>
        <w:t>enable</w:t>
      </w:r>
      <w:r w:rsidR="00F249C0">
        <w:rPr>
          <w:noProof/>
        </w:rPr>
        <w:t>s</w:t>
      </w:r>
      <w:r w:rsidRPr="00A9409D">
        <w:rPr>
          <w:noProof/>
        </w:rPr>
        <w:t xml:space="preserve"> a </w:t>
      </w:r>
      <w:r w:rsidR="0070417C">
        <w:rPr>
          <w:noProof/>
        </w:rPr>
        <w:t>steady-state</w:t>
      </w:r>
      <w:r w:rsidRPr="00A9409D">
        <w:rPr>
          <w:noProof/>
        </w:rPr>
        <w:t xml:space="preserve"> optimization of the dimensioning of the process and the upstream and downstream buffer tanks. If the DSM application is economically feasible, then the optimization will find an ideal oversizing of a process for maximizing flexibility within economic boundaries. With these calculated values, a dynamic optimization can be performed that reacts to changing electricity prices and schedules the operation of the process. </w:t>
      </w:r>
      <w:r w:rsidR="00885D9C">
        <w:rPr>
          <w:noProof/>
        </w:rPr>
        <w:t>For known oversizing factors d</w:t>
      </w:r>
      <w:r w:rsidRPr="00A9409D">
        <w:rPr>
          <w:noProof/>
        </w:rPr>
        <w:t xml:space="preserve">ynamic optimization </w:t>
      </w:r>
      <w:r w:rsidR="00F249C0">
        <w:rPr>
          <w:noProof/>
        </w:rPr>
        <w:t xml:space="preserve">then </w:t>
      </w:r>
      <w:r w:rsidRPr="00A9409D">
        <w:rPr>
          <w:noProof/>
        </w:rPr>
        <w:t>provides a more realistic view of a DSM operation by taking start-up and switch-off times into account.</w:t>
      </w:r>
    </w:p>
    <w:p w14:paraId="4887E726" w14:textId="6D43C833" w:rsidR="00885D9C" w:rsidRDefault="00885D9C" w:rsidP="00885D9C">
      <w:pPr>
        <w:pStyle w:val="CETheadingx"/>
      </w:pPr>
      <w:r>
        <w:t>Process simulation of a the digestate separation step</w:t>
      </w:r>
      <w:r w:rsidRPr="00D52ECD">
        <w:t xml:space="preserve"> </w:t>
      </w:r>
    </w:p>
    <w:p w14:paraId="7A4B3908" w14:textId="63241364" w:rsidR="00405084" w:rsidRDefault="00156221" w:rsidP="00156221">
      <w:pPr>
        <w:pStyle w:val="CETBodytext"/>
      </w:pPr>
      <w:r>
        <w:rPr>
          <w:noProof/>
          <w:lang w:val="de-DE" w:eastAsia="de-DE"/>
        </w:rPr>
        <mc:AlternateContent>
          <mc:Choice Requires="wps">
            <w:drawing>
              <wp:anchor distT="0" distB="0" distL="114300" distR="114300" simplePos="0" relativeHeight="251659263" behindDoc="0" locked="0" layoutInCell="1" allowOverlap="1" wp14:anchorId="4E50ADFB" wp14:editId="22CD159A">
                <wp:simplePos x="0" y="0"/>
                <wp:positionH relativeFrom="margin">
                  <wp:posOffset>3369310</wp:posOffset>
                </wp:positionH>
                <wp:positionV relativeFrom="paragraph">
                  <wp:posOffset>504190</wp:posOffset>
                </wp:positionV>
                <wp:extent cx="2273935" cy="332105"/>
                <wp:effectExtent l="0" t="0" r="0" b="0"/>
                <wp:wrapSquare wrapText="bothSides"/>
                <wp:docPr id="34" name="Textfeld 34"/>
                <wp:cNvGraphicFramePr/>
                <a:graphic xmlns:a="http://schemas.openxmlformats.org/drawingml/2006/main">
                  <a:graphicData uri="http://schemas.microsoft.com/office/word/2010/wordprocessingShape">
                    <wps:wsp>
                      <wps:cNvSpPr txBox="1"/>
                      <wps:spPr>
                        <a:xfrm>
                          <a:off x="0" y="0"/>
                          <a:ext cx="2273935" cy="332105"/>
                        </a:xfrm>
                        <a:prstGeom prst="rect">
                          <a:avLst/>
                        </a:prstGeom>
                        <a:solidFill>
                          <a:prstClr val="white"/>
                        </a:solidFill>
                        <a:ln>
                          <a:noFill/>
                        </a:ln>
                      </wps:spPr>
                      <wps:txbx>
                        <w:txbxContent>
                          <w:p w14:paraId="64B18E80" w14:textId="21F88058" w:rsidR="00AB2849" w:rsidRPr="00F559F8" w:rsidRDefault="00AB2849" w:rsidP="00E0197B">
                            <w:pPr>
                              <w:pStyle w:val="CETCaption"/>
                              <w:spacing w:before="0" w:after="0"/>
                              <w:ind w:right="153"/>
                              <w:rPr>
                                <w:noProof/>
                                <w:lang w:val="en-US"/>
                              </w:rPr>
                            </w:pPr>
                            <w:bookmarkStart w:id="7" w:name="_Ref127796618"/>
                            <w:r>
                              <w:t xml:space="preserve">Figure </w:t>
                            </w:r>
                            <w:r>
                              <w:fldChar w:fldCharType="begin"/>
                            </w:r>
                            <w:r>
                              <w:instrText xml:space="preserve"> SEQ Figure \* ARABIC </w:instrText>
                            </w:r>
                            <w:r>
                              <w:fldChar w:fldCharType="separate"/>
                            </w:r>
                            <w:r>
                              <w:rPr>
                                <w:noProof/>
                              </w:rPr>
                              <w:t>1</w:t>
                            </w:r>
                            <w:r>
                              <w:fldChar w:fldCharType="end"/>
                            </w:r>
                            <w:bookmarkEnd w:id="7"/>
                            <w:r>
                              <w:t xml:space="preserve">: Graphic summary of method </w:t>
                            </w:r>
                            <w:r>
                              <w:rPr>
                                <w:noProof/>
                              </w:rPr>
                              <w:t>used in this contribution.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0ADFB" id="_x0000_t202" coordsize="21600,21600" o:spt="202" path="m,l,21600r21600,l21600,xe">
                <v:stroke joinstyle="miter"/>
                <v:path gradientshapeok="t" o:connecttype="rect"/>
              </v:shapetype>
              <v:shape id="Textfeld 34" o:spid="_x0000_s1026" type="#_x0000_t202" style="position:absolute;left:0;text-align:left;margin-left:265.3pt;margin-top:39.7pt;width:179.05pt;height:26.1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" stroked="f">
                <v:textbox inset="0,0,0,0">
                  <w:txbxContent>
                    <w:p w14:paraId="64B18E80" w14:textId="21F88058" w:rsidR="00AB2849" w:rsidRPr="00F559F8" w:rsidRDefault="00AB2849" w:rsidP="00E0197B">
                      <w:pPr>
                        <w:pStyle w:val="CETCaption"/>
                        <w:spacing w:before="0" w:after="0"/>
                        <w:ind w:right="153"/>
                        <w:rPr>
                          <w:noProof/>
                          <w:lang w:val="en-US"/>
                        </w:rPr>
                      </w:pPr>
                      <w:bookmarkStart w:id="8" w:name="_Ref127796618"/>
                      <w:r>
                        <w:t xml:space="preserve">Figure </w:t>
                      </w:r>
                      <w:r>
                        <w:fldChar w:fldCharType="begin"/>
                      </w:r>
                      <w:r>
                        <w:instrText xml:space="preserve"> SEQ Figure \* ARABIC </w:instrText>
                      </w:r>
                      <w:r>
                        <w:fldChar w:fldCharType="separate"/>
                      </w:r>
                      <w:r>
                        <w:rPr>
                          <w:noProof/>
                        </w:rPr>
                        <w:t>1</w:t>
                      </w:r>
                      <w:r>
                        <w:fldChar w:fldCharType="end"/>
                      </w:r>
                      <w:bookmarkEnd w:id="8"/>
                      <w:r>
                        <w:t xml:space="preserve">: Graphic summary of method </w:t>
                      </w:r>
                      <w:r>
                        <w:rPr>
                          <w:noProof/>
                        </w:rPr>
                        <w:t>used in this contribution.</w:t>
                      </w:r>
                    </w:p>
                  </w:txbxContent>
                </v:textbox>
                <w10:wrap type="square" anchorx="margin"/>
              </v:shape>
            </w:pict>
          </mc:Fallback>
        </mc:AlternateContent>
      </w:r>
      <w:r w:rsidR="00885D9C">
        <w:t>Within the case study plant the</w:t>
      </w:r>
      <w:r w:rsidR="00934816" w:rsidRPr="00D52ECD">
        <w:t xml:space="preserve"> decanter centrifuge is </w:t>
      </w:r>
      <w:r w:rsidR="00A86E50">
        <w:t xml:space="preserve">located </w:t>
      </w:r>
      <w:r w:rsidR="00934816" w:rsidRPr="00D52ECD">
        <w:t>down- and upstream</w:t>
      </w:r>
      <w:r w:rsidR="00934816">
        <w:t xml:space="preserve"> of</w:t>
      </w:r>
      <w:r w:rsidR="00934816" w:rsidRPr="00D52ECD">
        <w:t xml:space="preserve"> other separation processes that are operated continuously. A simplified flowsheet of the investigated process </w:t>
      </w:r>
      <w:r w:rsidR="00F249C0">
        <w:t>is provided</w:t>
      </w:r>
      <w:r w:rsidR="00934816" w:rsidRPr="00D52ECD">
        <w:t xml:space="preserve"> in</w:t>
      </w:r>
      <w:r w:rsidR="00405084">
        <w:t xml:space="preserve"> </w:t>
      </w:r>
      <w:r w:rsidR="00405084">
        <w:fldChar w:fldCharType="begin"/>
      </w:r>
      <w:r w:rsidR="00405084">
        <w:instrText xml:space="preserve"> REF _Ref127793547 \h </w:instrText>
      </w:r>
      <w:r w:rsidR="00405084">
        <w:fldChar w:fldCharType="separate"/>
      </w:r>
      <w:r w:rsidR="0070417C">
        <w:t xml:space="preserve">Figure </w:t>
      </w:r>
      <w:r w:rsidR="0070417C">
        <w:rPr>
          <w:noProof/>
        </w:rPr>
        <w:t>2</w:t>
      </w:r>
      <w:r w:rsidR="00405084">
        <w:fldChar w:fldCharType="end"/>
      </w:r>
      <w:r w:rsidR="00934816" w:rsidRPr="00D52ECD">
        <w:t xml:space="preserve">. </w:t>
      </w:r>
    </w:p>
    <w:p w14:paraId="4E37A4A2" w14:textId="251029BA" w:rsidR="00156221" w:rsidRDefault="00976C1D" w:rsidP="00934816">
      <w:pPr>
        <w:pStyle w:val="CETBodytext"/>
        <w:rPr>
          <w:lang w:eastAsia="de-DE"/>
        </w:rPr>
      </w:pPr>
      <w:r w:rsidRPr="00D52ECD">
        <w:rPr>
          <w:lang w:eastAsia="de-DE"/>
        </w:rPr>
        <w:t xml:space="preserve">In </w:t>
      </w:r>
      <w:r>
        <w:rPr>
          <w:lang w:eastAsia="de-DE"/>
        </w:rPr>
        <w:t xml:space="preserve">the Aspen Plus </w:t>
      </w:r>
      <w:r w:rsidR="009119FC">
        <w:rPr>
          <w:lang w:eastAsia="de-DE"/>
        </w:rPr>
        <w:t>s</w:t>
      </w:r>
      <w:r>
        <w:rPr>
          <w:lang w:eastAsia="de-DE"/>
        </w:rPr>
        <w:t>imulation described by</w:t>
      </w:r>
      <w:r w:rsidR="009119FC">
        <w:rPr>
          <w:lang w:eastAsia="de-DE"/>
        </w:rPr>
        <w:t xml:space="preserve"> Etzold et al. </w:t>
      </w:r>
      <w:r w:rsidR="009119FC">
        <w:rPr>
          <w:lang w:eastAsia="de-DE"/>
        </w:rPr>
        <w:fldChar w:fldCharType="begin"/>
      </w:r>
      <w:r w:rsidR="009119FC">
        <w:rPr>
          <w:lang w:eastAsia="de-DE"/>
        </w:rPr>
        <w:instrText>ADDIN CITAVI.PLACEHOLDER e589d10f-d200-4435-9591-6973fa2386d5 PFBsYWNlaG9sZGVyPg0KICA8QWRkSW5WZXJzaW9uPjUuNy4wLjA8L0FkZEluVmVyc2lvbj4NCiAgPElkPmU1ODlkMTBmLWQyMDAtNDQzNS05NTkxLTY5NzNmYTIzODZkNTwvSWQ+DQogIDxFbnRyaWVzPg0KICAgIDxFbnRyeT4NCiAgICAgIDxJZD4xMWY3OTc0Ni01MTg1LTRiZDYtYjVmMC0zNTBiNGJiMmZlNzk8L0lkPg0KICAgICAgPFJlZmVyZW5jZUlkPjgxYjI0ZmVhLWVlZTEtNDk4OS1iMjNmLTdlMzYwY2VhMTRiZ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IzKTwvVGV4dD4NCiAgICA8L1RleHRVbml0Pg0KICA8L1RleHRVbml0cz4NCjwvUGxhY2Vob2xkZXI+</w:instrText>
      </w:r>
      <w:r w:rsidR="009119FC">
        <w:rPr>
          <w:lang w:eastAsia="de-DE"/>
        </w:rPr>
        <w:fldChar w:fldCharType="separate"/>
      </w:r>
      <w:bookmarkStart w:id="8" w:name="_CTVP001e589d10fd200443595916973fa2386d5"/>
      <w:r w:rsidR="009119FC">
        <w:rPr>
          <w:lang w:eastAsia="de-DE"/>
        </w:rPr>
        <w:t>(2023)</w:t>
      </w:r>
      <w:bookmarkEnd w:id="8"/>
      <w:r w:rsidR="009119FC">
        <w:rPr>
          <w:lang w:eastAsia="de-DE"/>
        </w:rPr>
        <w:fldChar w:fldCharType="end"/>
      </w:r>
      <w:r w:rsidRPr="00D52ECD">
        <w:rPr>
          <w:lang w:eastAsia="de-DE"/>
        </w:rPr>
        <w:t xml:space="preserve">, the decanter process was simplified using a separator block. </w:t>
      </w:r>
      <w:r w:rsidRPr="00D52ECD">
        <w:t>Partially clarified fermentation residue comes from an upstream separation step.</w:t>
      </w:r>
      <w:r>
        <w:t xml:space="preserve"> This</w:t>
      </w:r>
      <w:r w:rsidRPr="00D52ECD">
        <w:rPr>
          <w:lang w:eastAsia="de-DE"/>
        </w:rPr>
        <w:t xml:space="preserve"> digestate mixture with a mass flow of 279 </w:t>
      </w:r>
      <w:proofErr w:type="spellStart"/>
      <w:r w:rsidR="009D0BE1">
        <w:rPr>
          <w:lang w:eastAsia="de-DE"/>
        </w:rPr>
        <w:t>kt</w:t>
      </w:r>
      <w:proofErr w:type="spellEnd"/>
      <w:r w:rsidR="009D0BE1">
        <w:rPr>
          <w:lang w:eastAsia="de-DE"/>
        </w:rPr>
        <w:t>/y</w:t>
      </w:r>
      <w:r w:rsidRPr="00D52ECD">
        <w:rPr>
          <w:lang w:eastAsia="de-DE"/>
        </w:rPr>
        <w:t xml:space="preserve"> consists of 97.92 wt.% water (W), 1.45 wt.% residual organic dry matter (O), 0.03 wt.% phosphorus</w:t>
      </w:r>
      <w:r>
        <w:rPr>
          <w:lang w:eastAsia="de-DE"/>
        </w:rPr>
        <w:t xml:space="preserve"> </w:t>
      </w:r>
      <w:r w:rsidRPr="00D52ECD">
        <w:rPr>
          <w:lang w:eastAsia="de-DE"/>
        </w:rPr>
        <w:t>(P), 0.06 wt.% potassium</w:t>
      </w:r>
      <w:r>
        <w:rPr>
          <w:lang w:eastAsia="de-DE"/>
        </w:rPr>
        <w:t xml:space="preserve"> </w:t>
      </w:r>
      <w:r w:rsidRPr="00D52ECD">
        <w:rPr>
          <w:lang w:eastAsia="de-DE"/>
        </w:rPr>
        <w:t>(K), and minor amounts of nitrogen</w:t>
      </w:r>
      <w:r>
        <w:rPr>
          <w:lang w:eastAsia="de-DE"/>
        </w:rPr>
        <w:t xml:space="preserve"> </w:t>
      </w:r>
      <w:r w:rsidRPr="00D52ECD">
        <w:rPr>
          <w:lang w:eastAsia="de-DE"/>
        </w:rPr>
        <w:t xml:space="preserve">(N). The split fractions of the liquid stream of the decanter </w:t>
      </w:r>
      <w:r w:rsidR="00F249C0">
        <w:rPr>
          <w:lang w:eastAsia="de-DE"/>
        </w:rPr>
        <w:t>were</w:t>
      </w:r>
      <w:r w:rsidRPr="00D52ECD">
        <w:rPr>
          <w:lang w:eastAsia="de-DE"/>
        </w:rPr>
        <w:t xml:space="preserve"> set </w:t>
      </w:r>
      <w:r w:rsidR="00A86E50">
        <w:rPr>
          <w:lang w:eastAsia="de-DE"/>
        </w:rPr>
        <w:t xml:space="preserve">to </w:t>
      </w:r>
      <w:r w:rsidRPr="00D52ECD">
        <w:rPr>
          <w:lang w:eastAsia="de-DE"/>
        </w:rPr>
        <w:t>W = 0.82, O = 0.38, P = 0.12, K = 0.89, and N = 0.84</w:t>
      </w:r>
      <w:r w:rsidR="00A86E50" w:rsidRPr="00A86E50">
        <w:rPr>
          <w:lang w:eastAsia="de-DE"/>
        </w:rPr>
        <w:t xml:space="preserve"> </w:t>
      </w:r>
      <w:r w:rsidR="00A86E50" w:rsidRPr="00D52ECD">
        <w:rPr>
          <w:lang w:eastAsia="de-DE"/>
        </w:rPr>
        <w:t>at their design point</w:t>
      </w:r>
      <w:r w:rsidRPr="00D52ECD">
        <w:rPr>
          <w:lang w:eastAsia="de-DE"/>
        </w:rPr>
        <w:t>.</w:t>
      </w:r>
      <w:r w:rsidR="00A86E50">
        <w:rPr>
          <w:lang w:eastAsia="de-DE"/>
        </w:rPr>
        <w:t xml:space="preserve"> </w:t>
      </w:r>
      <w:r w:rsidR="00885D9C">
        <w:rPr>
          <w:lang w:eastAsia="de-DE"/>
        </w:rPr>
        <w:t xml:space="preserve">Pressure or temperature increase </w:t>
      </w:r>
      <w:r w:rsidR="00F249C0">
        <w:rPr>
          <w:lang w:eastAsia="de-DE"/>
        </w:rPr>
        <w:t>were</w:t>
      </w:r>
      <w:r w:rsidR="00885D9C">
        <w:rPr>
          <w:lang w:eastAsia="de-DE"/>
        </w:rPr>
        <w:t xml:space="preserve"> not considered in the simulation within the decanter centrifuge. </w:t>
      </w:r>
      <w:r w:rsidR="00DB0120">
        <w:rPr>
          <w:lang w:eastAsia="de-DE"/>
        </w:rPr>
        <w:t>Volume</w:t>
      </w:r>
      <w:r w:rsidR="00885D9C">
        <w:rPr>
          <w:lang w:eastAsia="de-DE"/>
        </w:rPr>
        <w:t xml:space="preserve"> and oversized capa</w:t>
      </w:r>
      <w:r w:rsidR="00DB0120">
        <w:rPr>
          <w:lang w:eastAsia="de-DE"/>
        </w:rPr>
        <w:t xml:space="preserve">city of storage tanks and decanter centrifuge </w:t>
      </w:r>
      <w:r w:rsidR="00F249C0">
        <w:rPr>
          <w:lang w:eastAsia="de-DE"/>
        </w:rPr>
        <w:t>were</w:t>
      </w:r>
      <w:r w:rsidR="00DB0120">
        <w:rPr>
          <w:lang w:eastAsia="de-DE"/>
        </w:rPr>
        <w:t xml:space="preserve"> calculated by the simulation. </w:t>
      </w:r>
    </w:p>
    <w:p w14:paraId="3392E544" w14:textId="100E001E" w:rsidR="00934816" w:rsidRDefault="004877B7" w:rsidP="006E3260">
      <w:pPr>
        <w:pStyle w:val="CETBodytext"/>
        <w:jc w:val="center"/>
        <w:rPr>
          <w:lang w:eastAsia="de-DE"/>
        </w:rPr>
      </w:pPr>
      <w:r w:rsidRPr="004877B7">
        <w:rPr>
          <w:noProof/>
          <w:lang w:eastAsia="de-DE"/>
        </w:rPr>
        <w:drawing>
          <wp:inline distT="0" distB="0" distL="0" distR="0" wp14:anchorId="042730F4" wp14:editId="4BAAA1E3">
            <wp:extent cx="3631751" cy="1666875"/>
            <wp:effectExtent l="0" t="0" r="698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516"/>
                    <a:stretch/>
                  </pic:blipFill>
                  <pic:spPr bwMode="auto">
                    <a:xfrm>
                      <a:off x="0" y="0"/>
                      <a:ext cx="3669784" cy="1684331"/>
                    </a:xfrm>
                    <a:prstGeom prst="rect">
                      <a:avLst/>
                    </a:prstGeom>
                    <a:ln>
                      <a:noFill/>
                    </a:ln>
                    <a:extLst>
                      <a:ext uri="{53640926-AAD7-44D8-BBD7-CCE9431645EC}">
                        <a14:shadowObscured xmlns:a14="http://schemas.microsoft.com/office/drawing/2010/main"/>
                      </a:ext>
                    </a:extLst>
                  </pic:spPr>
                </pic:pic>
              </a:graphicData>
            </a:graphic>
          </wp:inline>
        </w:drawing>
      </w:r>
    </w:p>
    <w:p w14:paraId="6425F309" w14:textId="77777777" w:rsidR="00156221" w:rsidRPr="00D52ECD" w:rsidRDefault="00156221" w:rsidP="006E3260">
      <w:pPr>
        <w:pStyle w:val="CETCaption"/>
        <w:spacing w:before="0"/>
        <w:jc w:val="center"/>
      </w:pPr>
      <w:bookmarkStart w:id="9" w:name="_Ref127793547"/>
      <w:r>
        <w:t xml:space="preserve">Figure </w:t>
      </w:r>
      <w:r>
        <w:fldChar w:fldCharType="begin"/>
      </w:r>
      <w:r>
        <w:instrText xml:space="preserve"> SEQ Figure \* ARABIC </w:instrText>
      </w:r>
      <w:r>
        <w:fldChar w:fldCharType="separate"/>
      </w:r>
      <w:r>
        <w:rPr>
          <w:noProof/>
        </w:rPr>
        <w:t>2</w:t>
      </w:r>
      <w:r>
        <w:fldChar w:fldCharType="end"/>
      </w:r>
      <w:bookmarkEnd w:id="9"/>
      <w:r>
        <w:t>:</w:t>
      </w:r>
      <w:r w:rsidRPr="00405084">
        <w:t xml:space="preserve"> </w:t>
      </w:r>
      <w:r>
        <w:t>S</w:t>
      </w:r>
      <w:r w:rsidRPr="00D52ECD">
        <w:t>implified flowsheet</w:t>
      </w:r>
      <w:r>
        <w:t xml:space="preserve"> of decanter centrifuge process under consideration.</w:t>
      </w:r>
    </w:p>
    <w:p w14:paraId="6843C118" w14:textId="68970CB9" w:rsidR="00B20458" w:rsidRDefault="00E4233D" w:rsidP="00885D9C">
      <w:pPr>
        <w:pStyle w:val="CETheadingx"/>
      </w:pPr>
      <w:bookmarkStart w:id="10" w:name="_Toc127779438"/>
      <w:bookmarkEnd w:id="6"/>
      <w:r w:rsidRPr="00D52ECD">
        <w:lastRenderedPageBreak/>
        <w:t xml:space="preserve">DSM assessment </w:t>
      </w:r>
      <w:r w:rsidR="00EF0706">
        <w:t>decision support tool</w:t>
      </w:r>
      <w:bookmarkEnd w:id="10"/>
      <w:r w:rsidRPr="00D52ECD">
        <w:t xml:space="preserve"> </w:t>
      </w:r>
    </w:p>
    <w:p w14:paraId="0E5CEB40" w14:textId="60548A60" w:rsidR="00E4233D" w:rsidRDefault="00E4233D" w:rsidP="00F42D02">
      <w:pPr>
        <w:pStyle w:val="CETBodytext"/>
        <w:rPr>
          <w:lang w:eastAsia="de-DE"/>
        </w:rPr>
      </w:pPr>
      <w:r w:rsidRPr="00D52ECD">
        <w:rPr>
          <w:lang w:eastAsia="de-DE"/>
        </w:rPr>
        <w:t xml:space="preserve">The </w:t>
      </w:r>
      <w:r w:rsidR="00EF0706">
        <w:rPr>
          <w:lang w:eastAsia="de-DE"/>
        </w:rPr>
        <w:t>decision support tool</w:t>
      </w:r>
      <w:r w:rsidRPr="00D52ECD">
        <w:rPr>
          <w:lang w:eastAsia="de-DE"/>
        </w:rPr>
        <w:t xml:space="preserve"> developed by Röder et al. </w:t>
      </w:r>
      <w:r w:rsidR="00AD5AA8">
        <w:rPr>
          <w:lang w:eastAsia="de-DE"/>
        </w:rPr>
        <w:fldChar w:fldCharType="begin"/>
      </w:r>
      <w:r w:rsidR="00AD5AA8">
        <w:rPr>
          <w:lang w:eastAsia="de-DE"/>
        </w:rPr>
        <w:instrText>ADDIN CITAVI.PLACEHOLDER 1b8cbca8-9344-41a7-9238-3fed4e94714a PFBsYWNlaG9sZGVyPg0KICA8QWRkSW5WZXJzaW9uPjUuNy4wLjA8L0FkZEluVmVyc2lvbj4NCiAgPElkPjFiOGNiY2E4LTkzNDQtNDFhNy05MjM4LTNmZWQ0ZTk0NzE0YTwvSWQ+DQogIDxFbnRyaWVzPg0KICAgIDxFbnRyeT4NCiAgICAgIDxJZD42NTliMDI1My1lOTNlLTRiYjQtYTY3My1iZDg5NGZlZDZiNDI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rsidR="00AD5AA8">
        <w:rPr>
          <w:lang w:eastAsia="de-DE"/>
        </w:rPr>
        <w:fldChar w:fldCharType="separate"/>
      </w:r>
      <w:bookmarkStart w:id="11" w:name="_CTVP0011b8cbca8934441a792383fed4e94714a"/>
      <w:r w:rsidR="00AD5AA8">
        <w:rPr>
          <w:lang w:eastAsia="de-DE"/>
        </w:rPr>
        <w:t>(2023)</w:t>
      </w:r>
      <w:bookmarkEnd w:id="11"/>
      <w:r w:rsidR="00AD5AA8">
        <w:rPr>
          <w:lang w:eastAsia="de-DE"/>
        </w:rPr>
        <w:fldChar w:fldCharType="end"/>
      </w:r>
      <w:r w:rsidR="00AD5AA8">
        <w:rPr>
          <w:lang w:eastAsia="de-DE"/>
        </w:rPr>
        <w:t xml:space="preserve"> </w:t>
      </w:r>
      <w:r w:rsidR="00F249C0">
        <w:rPr>
          <w:lang w:eastAsia="de-DE"/>
        </w:rPr>
        <w:t>was</w:t>
      </w:r>
      <w:r w:rsidR="00A9409D" w:rsidRPr="00A9409D">
        <w:rPr>
          <w:lang w:eastAsia="de-DE"/>
        </w:rPr>
        <w:t xml:space="preserve"> used to evaluate the most critical economic parameters </w:t>
      </w:r>
      <w:r w:rsidR="00A86E50">
        <w:rPr>
          <w:lang w:eastAsia="de-DE"/>
        </w:rPr>
        <w:t>to decide on</w:t>
      </w:r>
      <w:r w:rsidR="00A9409D" w:rsidRPr="00A9409D">
        <w:rPr>
          <w:lang w:eastAsia="de-DE"/>
        </w:rPr>
        <w:t xml:space="preserve"> a DSM implementation in </w:t>
      </w:r>
      <w:r w:rsidR="00A86E50">
        <w:rPr>
          <w:lang w:eastAsia="de-DE"/>
        </w:rPr>
        <w:t xml:space="preserve">this </w:t>
      </w:r>
      <w:r w:rsidR="00A9409D" w:rsidRPr="00A9409D">
        <w:rPr>
          <w:lang w:eastAsia="de-DE"/>
        </w:rPr>
        <w:t xml:space="preserve">continuously operated </w:t>
      </w:r>
      <w:r w:rsidR="00A86E50">
        <w:rPr>
          <w:lang w:eastAsia="de-DE"/>
        </w:rPr>
        <w:t xml:space="preserve">separation </w:t>
      </w:r>
      <w:r w:rsidR="00A9409D" w:rsidRPr="00A9409D">
        <w:rPr>
          <w:lang w:eastAsia="de-DE"/>
        </w:rPr>
        <w:t xml:space="preserve">process. The </w:t>
      </w:r>
      <w:r w:rsidR="00EF0706">
        <w:rPr>
          <w:lang w:eastAsia="de-DE"/>
        </w:rPr>
        <w:t>tool</w:t>
      </w:r>
      <w:r w:rsidR="00A9409D" w:rsidRPr="00A9409D">
        <w:rPr>
          <w:lang w:eastAsia="de-DE"/>
        </w:rPr>
        <w:t xml:space="preserve"> is based on a multistep analysis of processes, </w:t>
      </w:r>
      <w:r w:rsidR="00A86E50">
        <w:rPr>
          <w:lang w:eastAsia="de-DE"/>
        </w:rPr>
        <w:t>investigating</w:t>
      </w:r>
      <w:r w:rsidR="00A9409D" w:rsidRPr="00A9409D">
        <w:rPr>
          <w:lang w:eastAsia="de-DE"/>
        </w:rPr>
        <w:t xml:space="preserve"> mass flows, energy demand, theoretical DSM potential, and most importantly, economic aspects of DSM implementation. It evaluates and ranks processes concerning their economic DSM potential and determin</w:t>
      </w:r>
      <w:r w:rsidR="00DB0120">
        <w:rPr>
          <w:lang w:eastAsia="de-DE"/>
        </w:rPr>
        <w:t>es</w:t>
      </w:r>
      <w:r w:rsidR="00A9409D" w:rsidRPr="00A9409D">
        <w:rPr>
          <w:lang w:eastAsia="de-DE"/>
        </w:rPr>
        <w:t xml:space="preserve"> whether DSM implementation is economically viable. </w:t>
      </w:r>
      <w:r w:rsidRPr="00D52ECD">
        <w:rPr>
          <w:lang w:eastAsia="de-DE"/>
        </w:rPr>
        <w:t xml:space="preserve">A comprehensive description of the </w:t>
      </w:r>
      <w:r w:rsidR="00EF0706">
        <w:rPr>
          <w:lang w:eastAsia="de-DE"/>
        </w:rPr>
        <w:t>decision support tool</w:t>
      </w:r>
      <w:r w:rsidRPr="00D52ECD">
        <w:rPr>
          <w:lang w:eastAsia="de-DE"/>
        </w:rPr>
        <w:t xml:space="preserve"> can be found in Röder et al. </w:t>
      </w:r>
      <w:r w:rsidR="00AD5AA8">
        <w:rPr>
          <w:lang w:eastAsia="de-DE"/>
        </w:rPr>
        <w:fldChar w:fldCharType="begin"/>
      </w:r>
      <w:r w:rsidR="00AD5AA8">
        <w:rPr>
          <w:lang w:eastAsia="de-DE"/>
        </w:rPr>
        <w:instrText>ADDIN CITAVI.PLACEHOLDER f6528935-9ef5-4178-bdc6-12d5009242a0 PFBsYWNlaG9sZGVyPg0KICA8QWRkSW5WZXJzaW9uPjUuNy4wLjA8L0FkZEluVmVyc2lvbj4NCiAgPElkPmY2NTI4OTM1LTllZjUtNDE3OC1iZGM2LTEyZDUwMDkyNDJhMDwvSWQ+DQogIDxFbnRyaWVzPg0KICAgIDxFbnRyeT4NCiAgICAgIDxJZD45ZTgxMDY0ZC05M2Y2LTQ3OWUtODg3MS1jNWM1ZGM3NmFlMDU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rsidR="00AD5AA8">
        <w:rPr>
          <w:lang w:eastAsia="de-DE"/>
        </w:rPr>
        <w:fldChar w:fldCharType="separate"/>
      </w:r>
      <w:bookmarkStart w:id="12" w:name="_CTVP001f65289359ef54178bdc612d5009242a0"/>
      <w:r w:rsidR="00AD5AA8">
        <w:rPr>
          <w:lang w:eastAsia="de-DE"/>
        </w:rPr>
        <w:t>(2023)</w:t>
      </w:r>
      <w:bookmarkEnd w:id="12"/>
      <w:r w:rsidR="00AD5AA8">
        <w:rPr>
          <w:lang w:eastAsia="de-DE"/>
        </w:rPr>
        <w:fldChar w:fldCharType="end"/>
      </w:r>
      <w:r w:rsidR="00CE0905">
        <w:rPr>
          <w:lang w:eastAsia="de-DE"/>
        </w:rPr>
        <w:t xml:space="preserve">. </w:t>
      </w:r>
      <w:r w:rsidR="007E5B5B">
        <w:rPr>
          <w:lang w:eastAsia="de-DE"/>
        </w:rPr>
        <w:t>The f</w:t>
      </w:r>
      <w:r w:rsidRPr="007C2301">
        <w:rPr>
          <w:lang w:eastAsia="de-DE"/>
        </w:rPr>
        <w:t>ollowing formulas</w:t>
      </w:r>
      <w:r w:rsidR="00A86E50">
        <w:rPr>
          <w:lang w:eastAsia="de-DE"/>
        </w:rPr>
        <w:t xml:space="preserve"> to determine </w:t>
      </w:r>
      <w:r w:rsidR="00DB0120">
        <w:rPr>
          <w:lang w:eastAsia="de-DE"/>
        </w:rPr>
        <w:t>monetary benefits in operational expenditure</w:t>
      </w:r>
      <w:r w:rsidR="00A86E50">
        <w:rPr>
          <w:lang w:eastAsia="de-DE"/>
        </w:rPr>
        <w:t xml:space="preserve"> and </w:t>
      </w:r>
      <w:r w:rsidR="00DB0120">
        <w:rPr>
          <w:lang w:eastAsia="de-DE"/>
        </w:rPr>
        <w:t>capital cost increase</w:t>
      </w:r>
      <w:r w:rsidR="00A86E50">
        <w:rPr>
          <w:lang w:eastAsia="de-DE"/>
        </w:rPr>
        <w:t xml:space="preserve"> in </w:t>
      </w:r>
      <w:r w:rsidR="00DB0120">
        <w:rPr>
          <w:lang w:eastAsia="de-DE"/>
        </w:rPr>
        <w:t xml:space="preserve">the </w:t>
      </w:r>
      <w:r w:rsidR="0070417C">
        <w:rPr>
          <w:lang w:eastAsia="de-DE"/>
        </w:rPr>
        <w:t>steady-state</w:t>
      </w:r>
      <w:r w:rsidR="00DB0120">
        <w:rPr>
          <w:lang w:eastAsia="de-DE"/>
        </w:rPr>
        <w:t xml:space="preserve"> optimization </w:t>
      </w:r>
      <w:r w:rsidR="00A86E50">
        <w:rPr>
          <w:lang w:eastAsia="de-DE"/>
        </w:rPr>
        <w:t>step from the proposed methodology</w:t>
      </w:r>
      <w:r w:rsidRPr="007C2301">
        <w:rPr>
          <w:lang w:eastAsia="de-DE"/>
        </w:rPr>
        <w:t xml:space="preserve"> </w:t>
      </w:r>
      <w:r w:rsidR="00F249C0">
        <w:rPr>
          <w:lang w:eastAsia="de-DE"/>
        </w:rPr>
        <w:t>were</w:t>
      </w:r>
      <w:r w:rsidRPr="007C2301">
        <w:rPr>
          <w:lang w:eastAsia="de-DE"/>
        </w:rPr>
        <w:t xml:space="preserve"> defined, assuming</w:t>
      </w:r>
      <w:r w:rsidR="0071465A">
        <w:rPr>
          <w:lang w:eastAsia="de-DE"/>
        </w:rPr>
        <w:t xml:space="preserve"> the possibility of</w:t>
      </w:r>
      <w:r w:rsidRPr="007C2301">
        <w:rPr>
          <w:lang w:eastAsia="de-DE"/>
        </w:rPr>
        <w:t xml:space="preserve"> a complete </w:t>
      </w:r>
      <w:r w:rsidR="00B94536">
        <w:rPr>
          <w:lang w:eastAsia="de-DE"/>
        </w:rPr>
        <w:t>switch-</w:t>
      </w:r>
      <w:r w:rsidRPr="007C2301">
        <w:rPr>
          <w:lang w:eastAsia="de-DE"/>
        </w:rPr>
        <w:t xml:space="preserve">off of the process </w:t>
      </w:r>
      <w:r w:rsidR="0071465A">
        <w:rPr>
          <w:lang w:eastAsia="de-DE"/>
        </w:rPr>
        <w:t>during flexible operation</w:t>
      </w:r>
      <w:r w:rsidRPr="007C2301">
        <w:rPr>
          <w:lang w:eastAsia="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2"/>
        <w:gridCol w:w="465"/>
      </w:tblGrid>
      <w:tr w:rsidR="00E4233D" w:rsidRPr="00D52ECD" w14:paraId="6773177B" w14:textId="77777777" w:rsidTr="007C2301">
        <w:trPr>
          <w:trHeight w:val="624"/>
        </w:trPr>
        <w:tc>
          <w:tcPr>
            <w:tcW w:w="8595" w:type="dxa"/>
          </w:tcPr>
          <w:p w14:paraId="1DB99C51" w14:textId="64C119E1" w:rsidR="00E4233D" w:rsidRPr="00D52ECD" w:rsidRDefault="00C90354" w:rsidP="006E3260">
            <w:pPr>
              <w:pStyle w:val="CETBodytext"/>
              <w:jc w:val="center"/>
              <w:rPr>
                <w:sz w:val="20"/>
                <w:lang w:eastAsia="de-DE"/>
              </w:rPr>
            </w:pPr>
            <m:oMath>
              <m:sSub>
                <m:sSubPr>
                  <m:ctrlPr>
                    <w:rPr>
                      <w:rFonts w:ascii="Cambria Math" w:hAnsi="Cambria Math"/>
                      <w:i/>
                      <w:sz w:val="24"/>
                      <w:szCs w:val="24"/>
                    </w:rPr>
                  </m:ctrlPr>
                </m:sSubPr>
                <m:e>
                  <m:r>
                    <w:rPr>
                      <w:rFonts w:ascii="Cambria Math" w:hAnsi="Cambria Math"/>
                    </w:rPr>
                    <m:t>C</m:t>
                  </m:r>
                </m:e>
                <m:sub>
                  <m:r>
                    <w:rPr>
                      <w:rFonts w:ascii="Cambria Math" w:hAnsi="Cambria Math"/>
                    </w:rPr>
                    <m:t>opex</m:t>
                  </m:r>
                </m:sub>
              </m:sSub>
              <m:d>
                <m:dPr>
                  <m:ctrlPr>
                    <w:rPr>
                      <w:rFonts w:ascii="Cambria Math" w:hAnsi="Cambria Math"/>
                    </w:rPr>
                  </m:ctrlPr>
                </m:dPr>
                <m:e>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year</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year</m:t>
                      </m:r>
                    </m:sub>
                  </m:sSub>
                  <m:r>
                    <m:rPr>
                      <m:sty m:val="p"/>
                    </m:rPr>
                    <w:rPr>
                      <w:rFonts w:ascii="Cambria Math" w:hAnsi="Cambria Math"/>
                    </w:rPr>
                    <m:t>*</m:t>
                  </m:r>
                  <m:d>
                    <m:dPr>
                      <m:ctrlPr>
                        <w:rPr>
                          <w:rFonts w:ascii="Cambria Math" w:hAnsi="Cambria Math"/>
                        </w:rPr>
                      </m:ctrlPr>
                    </m:dPr>
                    <m:e>
                      <m:r>
                        <w:rPr>
                          <w:rFonts w:ascii="Cambria Math" w:hAnsi="Cambria Math"/>
                        </w:rPr>
                        <m:t>τ</m:t>
                      </m:r>
                      <m:r>
                        <m:rPr>
                          <m:sty m:val="p"/>
                        </m:rPr>
                        <w:rPr>
                          <w:rFonts w:ascii="Cambria Math" w:hAnsi="Cambria Math"/>
                        </w:rPr>
                        <m:t>-</m:t>
                      </m:r>
                      <m:f>
                        <m:fPr>
                          <m:ctrlPr>
                            <w:rPr>
                              <w:rFonts w:ascii="Cambria Math" w:hAnsi="Cambria Math"/>
                            </w:rPr>
                          </m:ctrlPr>
                        </m:fPr>
                        <m:num>
                          <m:r>
                            <w:rPr>
                              <w:rFonts w:ascii="Cambria Math" w:hAnsi="Cambria Math"/>
                            </w:rPr>
                            <m:t>τ</m:t>
                          </m:r>
                        </m:num>
                        <m:den>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r>
                            <m:rPr>
                              <m:sty m:val="p"/>
                            </m:rPr>
                            <w:rPr>
                              <w:rFonts w:ascii="Cambria Math" w:hAnsi="Cambria Math"/>
                            </w:rPr>
                            <m:t>+1</m:t>
                          </m:r>
                        </m:den>
                      </m:f>
                    </m:e>
                  </m:d>
                </m:e>
              </m:d>
              <m:r>
                <m:rPr>
                  <m:sty m:val="p"/>
                </m:rPr>
                <w:rPr>
                  <w:rFonts w:ascii="Cambria Math" w:hAnsi="Cambria Math"/>
                </w:rPr>
                <m:t>*</m:t>
              </m:r>
              <m:r>
                <w:rPr>
                  <w:rFonts w:ascii="Cambria Math" w:hAnsi="Cambria Math" w:cstheme="minorHAnsi"/>
                </w:rPr>
                <m:t>EPC</m:t>
              </m:r>
              <m:r>
                <m:rPr>
                  <m:sty m:val="p"/>
                </m:rPr>
                <w:rPr>
                  <w:rFonts w:ascii="Cambria Math" w:hAnsi="Cambria Math"/>
                </w:rPr>
                <m:t>*</m:t>
              </m:r>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rPr>
                    <m:t>oph</m:t>
                  </m:r>
                </m:sub>
              </m:sSub>
            </m:oMath>
            <w:r w:rsidR="006F336D">
              <w:rPr>
                <w:sz w:val="24"/>
                <w:szCs w:val="24"/>
              </w:rPr>
              <w:t xml:space="preserve"> </w:t>
            </w:r>
          </w:p>
        </w:tc>
        <w:tc>
          <w:tcPr>
            <w:tcW w:w="467" w:type="dxa"/>
            <w:vAlign w:val="center"/>
          </w:tcPr>
          <w:p w14:paraId="74AE8D63" w14:textId="409A1CE6" w:rsidR="00E4233D" w:rsidRPr="00D52ECD" w:rsidRDefault="00E4233D" w:rsidP="00F42D02">
            <w:pPr>
              <w:pStyle w:val="CETBodytext"/>
            </w:pPr>
            <w:r w:rsidRPr="00D52ECD">
              <w:t>(</w:t>
            </w:r>
            <w:r w:rsidRPr="00D52ECD">
              <w:fldChar w:fldCharType="begin"/>
            </w:r>
            <w:r w:rsidRPr="00D52ECD">
              <w:instrText xml:space="preserve"> SEQ Formel \* ARABIC </w:instrText>
            </w:r>
            <w:r w:rsidRPr="00D52ECD">
              <w:fldChar w:fldCharType="separate"/>
            </w:r>
            <w:r w:rsidR="0070417C">
              <w:rPr>
                <w:noProof/>
              </w:rPr>
              <w:t>1</w:t>
            </w:r>
            <w:r w:rsidRPr="00D52ECD">
              <w:rPr>
                <w:noProof/>
              </w:rPr>
              <w:fldChar w:fldCharType="end"/>
            </w:r>
            <w:r w:rsidRPr="00D52ECD">
              <w:t>)</w:t>
            </w:r>
          </w:p>
        </w:tc>
      </w:tr>
      <w:tr w:rsidR="00E4233D" w:rsidRPr="00D52ECD" w14:paraId="0E5AB9BB" w14:textId="77777777" w:rsidTr="007C2301">
        <w:trPr>
          <w:trHeight w:val="624"/>
        </w:trPr>
        <w:tc>
          <w:tcPr>
            <w:tcW w:w="8595" w:type="dxa"/>
          </w:tcPr>
          <w:p w14:paraId="4558C816" w14:textId="43209BC4" w:rsidR="00E4233D" w:rsidRPr="0091106B" w:rsidRDefault="00C90354" w:rsidP="006E3260">
            <w:pPr>
              <w:pStyle w:val="CETBodytext"/>
              <w:jc w:val="center"/>
              <w:rPr>
                <w:sz w:val="20"/>
                <w:lang w:eastAsia="de-DE"/>
              </w:rPr>
            </w:pPr>
            <m:oMathPara>
              <m:oMath>
                <m:sSub>
                  <m:sSubPr>
                    <m:ctrlPr>
                      <w:rPr>
                        <w:rFonts w:ascii="Cambria Math" w:hAnsi="Cambria Math"/>
                        <w:i/>
                        <w:sz w:val="24"/>
                        <w:szCs w:val="24"/>
                      </w:rPr>
                    </m:ctrlPr>
                  </m:sSubPr>
                  <m:e>
                    <m:r>
                      <w:rPr>
                        <w:rFonts w:ascii="Cambria Math" w:hAnsi="Cambria Math"/>
                      </w:rPr>
                      <m:t>C</m:t>
                    </m:r>
                  </m:e>
                  <m:sub>
                    <m:r>
                      <w:rPr>
                        <w:rFonts w:ascii="Cambria Math" w:hAnsi="Cambria Math"/>
                      </w:rPr>
                      <m:t>capex</m:t>
                    </m:r>
                  </m:sub>
                </m:sSub>
                <m:r>
                  <w:rPr>
                    <w:rFonts w:ascii="Cambria Math" w:hAnsi="Cambria Math"/>
                  </w:rPr>
                  <m:t>(</m:t>
                </m:r>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r>
                      <w:rPr>
                        <w:rFonts w:ascii="Cambria Math" w:hAnsi="Cambria Math"/>
                      </w:rPr>
                      <m:t>+1)</m:t>
                    </m:r>
                  </m:e>
                  <m:sup>
                    <m:sSub>
                      <m:sSubPr>
                        <m:ctrlPr>
                          <w:rPr>
                            <w:rFonts w:ascii="Cambria Math" w:hAnsi="Cambria Math"/>
                            <w:i/>
                          </w:rPr>
                        </m:ctrlPr>
                      </m:sSubPr>
                      <m:e>
                        <m:r>
                          <w:rPr>
                            <w:rFonts w:ascii="Cambria Math" w:hAnsi="Cambria Math"/>
                          </w:rPr>
                          <m:t>R</m:t>
                        </m:r>
                      </m:e>
                      <m:sub>
                        <m:r>
                          <w:rPr>
                            <w:rFonts w:ascii="Cambria Math" w:hAnsi="Cambria Math"/>
                          </w:rPr>
                          <m:t>P</m:t>
                        </m:r>
                      </m:sub>
                    </m:sSub>
                  </m:sup>
                </m:s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buf</m:t>
                    </m:r>
                  </m:sub>
                </m:sSub>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argPr>
                                      <m:argSz m:val="-1"/>
                                    </m:argPr>
                                    <m:r>
                                      <w:rPr>
                                        <w:rFonts w:ascii="Cambria Math" w:hAnsi="Cambria Math"/>
                                      </w:rPr>
                                      <m:t>buf</m:t>
                                    </m:r>
                                  </m:sub>
                                </m:sSub>
                              </m:e>
                            </m:d>
                            <m:r>
                              <w:rPr>
                                <w:rFonts w:ascii="Cambria Math" w:hAnsi="Cambria Math"/>
                              </w:rPr>
                              <m:t>*</m:t>
                            </m:r>
                            <m:d>
                              <m:dPr>
                                <m:ctrlPr>
                                  <w:rPr>
                                    <w:rFonts w:ascii="Cambria Math" w:hAnsi="Cambria Math"/>
                                    <w:i/>
                                  </w:rPr>
                                </m:ctrlPr>
                              </m:dPr>
                              <m:e>
                                <m:r>
                                  <w:rPr>
                                    <w:rFonts w:ascii="Cambria Math" w:hAnsi="Cambria Math"/>
                                  </w:rPr>
                                  <m:t>τ-</m:t>
                                </m:r>
                                <m:d>
                                  <m:dPr>
                                    <m:ctrlPr>
                                      <w:rPr>
                                        <w:rFonts w:ascii="Cambria Math" w:hAnsi="Cambria Math"/>
                                        <w:i/>
                                      </w:rPr>
                                    </m:ctrlPr>
                                  </m:dPr>
                                  <m:e>
                                    <m:f>
                                      <m:fPr>
                                        <m:ctrlPr>
                                          <w:rPr>
                                            <w:rFonts w:ascii="Cambria Math" w:hAnsi="Cambria Math"/>
                                          </w:rPr>
                                        </m:ctrlPr>
                                      </m:fPr>
                                      <m:num>
                                        <m:r>
                                          <w:rPr>
                                            <w:rFonts w:ascii="Cambria Math" w:hAnsi="Cambria Math"/>
                                          </w:rPr>
                                          <m:t>τ</m:t>
                                        </m:r>
                                      </m:num>
                                      <m:den>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r>
                                          <m:rPr>
                                            <m:sty m:val="p"/>
                                          </m:rPr>
                                          <w:rPr>
                                            <w:rFonts w:ascii="Cambria Math" w:hAnsi="Cambria Math"/>
                                          </w:rPr>
                                          <m:t>+1</m:t>
                                        </m:r>
                                      </m:den>
                                    </m:f>
                                  </m:e>
                                </m:d>
                              </m:e>
                            </m:d>
                          </m:num>
                          <m:den>
                            <m:sSub>
                              <m:sSubPr>
                                <m:ctrlPr>
                                  <w:rPr>
                                    <w:rFonts w:ascii="Cambria Math" w:hAnsi="Cambria Math"/>
                                    <w:i/>
                                  </w:rPr>
                                </m:ctrlPr>
                              </m:sSubPr>
                              <m:e>
                                <m:r>
                                  <w:rPr>
                                    <w:rFonts w:ascii="Cambria Math" w:hAnsi="Cambria Math"/>
                                  </w:rPr>
                                  <m:t>V</m:t>
                                </m:r>
                              </m:e>
                              <m:sub>
                                <m:r>
                                  <w:rPr>
                                    <w:rFonts w:ascii="Cambria Math" w:hAnsi="Cambria Math"/>
                                  </w:rPr>
                                  <m:t>ref</m:t>
                                </m:r>
                              </m:sub>
                            </m:sSub>
                          </m:den>
                        </m:f>
                      </m:e>
                    </m:d>
                  </m:e>
                  <m:sup>
                    <m:sSub>
                      <m:sSubPr>
                        <m:ctrlPr>
                          <w:rPr>
                            <w:rFonts w:ascii="Cambria Math" w:hAnsi="Cambria Math"/>
                            <w:i/>
                          </w:rPr>
                        </m:ctrlPr>
                      </m:sSubPr>
                      <m:e>
                        <m:r>
                          <w:rPr>
                            <w:rFonts w:ascii="Cambria Math" w:hAnsi="Cambria Math"/>
                          </w:rPr>
                          <m:t>R</m:t>
                        </m:r>
                      </m:e>
                      <m:sub>
                        <m:r>
                          <w:rPr>
                            <w:rFonts w:ascii="Cambria Math" w:hAnsi="Cambria Math"/>
                          </w:rPr>
                          <m:t>buf</m:t>
                        </m:r>
                      </m:sub>
                    </m:sSub>
                  </m:sup>
                </m:sSup>
              </m:oMath>
            </m:oMathPara>
          </w:p>
        </w:tc>
        <w:tc>
          <w:tcPr>
            <w:tcW w:w="467" w:type="dxa"/>
          </w:tcPr>
          <w:p w14:paraId="7E6D6A0E" w14:textId="77777777" w:rsidR="006E3260" w:rsidRDefault="006E3260" w:rsidP="00F42D02">
            <w:pPr>
              <w:pStyle w:val="CETBodytext"/>
            </w:pPr>
          </w:p>
          <w:p w14:paraId="4B049F34" w14:textId="77777777" w:rsidR="006E3260" w:rsidRDefault="006E3260" w:rsidP="00F42D02">
            <w:pPr>
              <w:pStyle w:val="CETBodytext"/>
            </w:pPr>
          </w:p>
          <w:p w14:paraId="7A00DE3D" w14:textId="468A845C" w:rsidR="00E4233D" w:rsidRPr="00D52ECD" w:rsidRDefault="00E4233D" w:rsidP="00F42D02">
            <w:pPr>
              <w:pStyle w:val="CETBodytext"/>
              <w:rPr>
                <w:sz w:val="20"/>
                <w:lang w:eastAsia="de-DE"/>
              </w:rPr>
            </w:pPr>
            <w:r w:rsidRPr="00D52ECD">
              <w:t>(</w:t>
            </w:r>
            <w:r w:rsidRPr="00D52ECD">
              <w:fldChar w:fldCharType="begin"/>
            </w:r>
            <w:r w:rsidRPr="00D52ECD">
              <w:instrText xml:space="preserve"> SEQ Formel \* ARABIC </w:instrText>
            </w:r>
            <w:r w:rsidRPr="00D52ECD">
              <w:fldChar w:fldCharType="separate"/>
            </w:r>
            <w:r w:rsidR="0070417C">
              <w:rPr>
                <w:noProof/>
              </w:rPr>
              <w:t>2</w:t>
            </w:r>
            <w:r w:rsidRPr="00D52ECD">
              <w:fldChar w:fldCharType="end"/>
            </w:r>
            <w:r w:rsidRPr="00D52ECD">
              <w:t>)</w:t>
            </w:r>
          </w:p>
        </w:tc>
      </w:tr>
      <w:tr w:rsidR="00E4233D" w:rsidRPr="00D52ECD" w14:paraId="44CBB44B" w14:textId="77777777" w:rsidTr="007C2301">
        <w:trPr>
          <w:trHeight w:val="624"/>
        </w:trPr>
        <w:tc>
          <w:tcPr>
            <w:tcW w:w="8595" w:type="dxa"/>
          </w:tcPr>
          <w:p w14:paraId="4994003E" w14:textId="59CD0FEB" w:rsidR="00E4233D" w:rsidRPr="0091106B" w:rsidRDefault="00C90354" w:rsidP="006E3260">
            <w:pPr>
              <w:pStyle w:val="CETBodytext"/>
              <w:jc w:val="center"/>
              <w:rPr>
                <w:sz w:val="20"/>
                <w:lang w:eastAsia="de-DE"/>
              </w:rPr>
            </w:pPr>
            <m:oMathPara>
              <m:oMath>
                <m:sSub>
                  <m:sSubPr>
                    <m:ctrlPr>
                      <w:rPr>
                        <w:rFonts w:ascii="Cambria Math" w:hAnsi="Cambria Math"/>
                        <w:i/>
                        <w:sz w:val="24"/>
                        <w:szCs w:val="24"/>
                      </w:rPr>
                    </m:ctrlPr>
                  </m:sSubPr>
                  <m:e>
                    <m:r>
                      <w:rPr>
                        <w:rFonts w:ascii="Cambria Math" w:hAnsi="Cambria Math"/>
                      </w:rPr>
                      <m:t>C</m:t>
                    </m:r>
                  </m:e>
                  <m:sub>
                    <m:r>
                      <w:rPr>
                        <w:rFonts w:ascii="Cambria Math" w:hAnsi="Cambria Math"/>
                      </w:rPr>
                      <m:t>totex</m:t>
                    </m:r>
                  </m:sub>
                </m:sSub>
                <m:d>
                  <m:dPr>
                    <m:ctrlPr>
                      <w:rPr>
                        <w:rFonts w:ascii="Cambria Math" w:hAnsi="Cambria Math" w:cstheme="minorHAnsi"/>
                      </w:rPr>
                    </m:ctrlPr>
                  </m:dPr>
                  <m:e>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e>
                </m:d>
                <m:r>
                  <m:rPr>
                    <m:sty m:val="p"/>
                  </m:rPr>
                  <w:rPr>
                    <w:rFonts w:ascii="Cambria Math" w:hAnsi="Cambria Math" w:cstheme="minorHAnsi"/>
                  </w:rPr>
                  <m:t>=</m:t>
                </m:r>
                <m:sSub>
                  <m:sSubPr>
                    <m:ctrlPr>
                      <w:rPr>
                        <w:rFonts w:ascii="Cambria Math" w:hAnsi="Cambria Math"/>
                        <w:i/>
                        <w:sz w:val="24"/>
                        <w:szCs w:val="24"/>
                      </w:rPr>
                    </m:ctrlPr>
                  </m:sSubPr>
                  <m:e>
                    <m:r>
                      <w:rPr>
                        <w:rFonts w:ascii="Cambria Math" w:hAnsi="Cambria Math"/>
                      </w:rPr>
                      <m:t>C</m:t>
                    </m:r>
                  </m:e>
                  <m:sub>
                    <m:r>
                      <w:rPr>
                        <w:rFonts w:ascii="Cambria Math" w:hAnsi="Cambria Math"/>
                      </w:rPr>
                      <m:t>opex</m:t>
                    </m:r>
                  </m:sub>
                </m:sSub>
                <m:d>
                  <m:dPr>
                    <m:ctrlPr>
                      <w:rPr>
                        <w:rFonts w:ascii="Cambria Math" w:hAnsi="Cambria Math" w:cstheme="minorHAnsi"/>
                      </w:rPr>
                    </m:ctrlPr>
                  </m:dPr>
                  <m:e>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e>
                </m:d>
                <m:r>
                  <m:rPr>
                    <m:sty m:val="p"/>
                  </m:rPr>
                  <w:rPr>
                    <w:rFonts w:ascii="Cambria Math" w:hAnsi="Cambria Math"/>
                  </w:rPr>
                  <m:t xml:space="preserve">+ </m:t>
                </m:r>
                <m:sSub>
                  <m:sSubPr>
                    <m:ctrlPr>
                      <w:rPr>
                        <w:rFonts w:ascii="Cambria Math" w:hAnsi="Cambria Math"/>
                        <w:i/>
                        <w:sz w:val="24"/>
                        <w:szCs w:val="24"/>
                      </w:rPr>
                    </m:ctrlPr>
                  </m:sSubPr>
                  <m:e>
                    <m:r>
                      <w:rPr>
                        <w:rFonts w:ascii="Cambria Math" w:hAnsi="Cambria Math"/>
                      </w:rPr>
                      <m:t>C</m:t>
                    </m:r>
                  </m:e>
                  <m:sub>
                    <m:r>
                      <w:rPr>
                        <w:rFonts w:ascii="Cambria Math" w:hAnsi="Cambria Math"/>
                      </w:rPr>
                      <m:t>capex</m:t>
                    </m:r>
                  </m:sub>
                </m:sSub>
                <m:r>
                  <m:rPr>
                    <m:sty m:val="p"/>
                  </m:rPr>
                  <w:rPr>
                    <w:rFonts w:ascii="Cambria Math" w:hAnsi="Cambria Math"/>
                  </w:rPr>
                  <m:t>(</m:t>
                </m:r>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r>
                  <m:rPr>
                    <m:sty m:val="p"/>
                  </m:rPr>
                  <w:rPr>
                    <w:rFonts w:ascii="Cambria Math" w:hAnsi="Cambria Math"/>
                  </w:rPr>
                  <m:t>)</m:t>
                </m:r>
              </m:oMath>
            </m:oMathPara>
          </w:p>
        </w:tc>
        <w:tc>
          <w:tcPr>
            <w:tcW w:w="467" w:type="dxa"/>
          </w:tcPr>
          <w:p w14:paraId="4DDA2509" w14:textId="0B5C694F" w:rsidR="00E4233D" w:rsidRPr="00D52ECD" w:rsidRDefault="00E4233D" w:rsidP="00F42D02">
            <w:pPr>
              <w:pStyle w:val="CETBodytext"/>
              <w:rPr>
                <w:sz w:val="20"/>
                <w:lang w:eastAsia="de-DE"/>
              </w:rPr>
            </w:pPr>
            <w:r w:rsidRPr="00D52ECD">
              <w:t>(</w:t>
            </w:r>
            <w:r w:rsidRPr="00D52ECD">
              <w:fldChar w:fldCharType="begin"/>
            </w:r>
            <w:r w:rsidRPr="00D52ECD">
              <w:instrText xml:space="preserve"> SEQ Formel \* ARABIC </w:instrText>
            </w:r>
            <w:r w:rsidRPr="00D52ECD">
              <w:fldChar w:fldCharType="separate"/>
            </w:r>
            <w:r w:rsidR="0070417C">
              <w:rPr>
                <w:noProof/>
              </w:rPr>
              <w:t>3</w:t>
            </w:r>
            <w:r w:rsidRPr="00D52ECD">
              <w:fldChar w:fldCharType="end"/>
            </w:r>
            <w:r w:rsidRPr="00D52ECD">
              <w:t>)</w:t>
            </w:r>
          </w:p>
        </w:tc>
      </w:tr>
    </w:tbl>
    <w:tbl>
      <w:tblPr>
        <w:tblStyle w:val="Tabellenraster1"/>
        <w:tblW w:w="7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522"/>
      </w:tblGrid>
      <w:tr w:rsidR="00B07970" w:rsidRPr="00D52ECD" w14:paraId="02D24544" w14:textId="77777777" w:rsidTr="00AD5AA8">
        <w:trPr>
          <w:trHeight w:val="269"/>
        </w:trPr>
        <w:tc>
          <w:tcPr>
            <w:tcW w:w="993" w:type="dxa"/>
          </w:tcPr>
          <w:bookmarkStart w:id="13" w:name="_Hlk121836087"/>
          <w:p w14:paraId="55D07BE9" w14:textId="74596643"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C</m:t>
                  </m:r>
                </m:e>
                <m:sub>
                  <m:r>
                    <w:rPr>
                      <w:rFonts w:ascii="Cambria Math" w:hAnsi="Cambria Math"/>
                    </w:rPr>
                    <m:t>capex</m:t>
                  </m:r>
                </m:sub>
              </m:sSub>
            </m:oMath>
            <w:r w:rsidR="00B07970" w:rsidRPr="00B07970">
              <w:rPr>
                <w:rFonts w:ascii="Cambria Math" w:hAnsi="Cambria Math"/>
              </w:rPr>
              <w:t xml:space="preserve"> </w:t>
            </w:r>
          </w:p>
        </w:tc>
        <w:tc>
          <w:tcPr>
            <w:tcW w:w="6522" w:type="dxa"/>
          </w:tcPr>
          <w:p w14:paraId="3A2E6B3E" w14:textId="07E191D5" w:rsidR="00B07970" w:rsidRPr="00D52ECD" w:rsidRDefault="00B07970" w:rsidP="00B07970">
            <w:pPr>
              <w:pStyle w:val="CETBodytext"/>
            </w:pPr>
            <w:r w:rsidRPr="008032AD">
              <w:t>Capital expenditure per year</w:t>
            </w:r>
          </w:p>
        </w:tc>
      </w:tr>
      <w:tr w:rsidR="00B07970" w:rsidRPr="00D52ECD" w14:paraId="0824F6AA" w14:textId="77777777" w:rsidTr="00AD5AA8">
        <w:trPr>
          <w:trHeight w:val="269"/>
        </w:trPr>
        <w:tc>
          <w:tcPr>
            <w:tcW w:w="993" w:type="dxa"/>
          </w:tcPr>
          <w:p w14:paraId="57B7E6B7" w14:textId="01509103"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00B07970" w:rsidRPr="00B07970">
              <w:rPr>
                <w:rFonts w:ascii="Cambria Math" w:hAnsi="Cambria Math"/>
              </w:rPr>
              <w:t xml:space="preserve">   </w:t>
            </w:r>
          </w:p>
        </w:tc>
        <w:tc>
          <w:tcPr>
            <w:tcW w:w="6522" w:type="dxa"/>
          </w:tcPr>
          <w:p w14:paraId="451AF058" w14:textId="524362A4" w:rsidR="00B07970" w:rsidRPr="00F42D02" w:rsidRDefault="00B07970" w:rsidP="00B07970">
            <w:pPr>
              <w:pStyle w:val="CETBodytext"/>
            </w:pPr>
            <w:r w:rsidRPr="008032AD">
              <w:t>Operational expenditure per year</w:t>
            </w:r>
          </w:p>
        </w:tc>
      </w:tr>
      <w:tr w:rsidR="00B07970" w:rsidRPr="00D52ECD" w14:paraId="01815A4D" w14:textId="77777777" w:rsidTr="00AD5AA8">
        <w:trPr>
          <w:trHeight w:val="269"/>
        </w:trPr>
        <w:tc>
          <w:tcPr>
            <w:tcW w:w="993" w:type="dxa"/>
          </w:tcPr>
          <w:p w14:paraId="0D179979" w14:textId="7EB756A8"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C</m:t>
                  </m:r>
                </m:e>
                <m:sub>
                  <m:r>
                    <w:rPr>
                      <w:rFonts w:ascii="Cambria Math" w:hAnsi="Cambria Math"/>
                    </w:rPr>
                    <m:t>totex</m:t>
                  </m:r>
                </m:sub>
              </m:sSub>
              <m:r>
                <m:rPr>
                  <m:sty m:val="p"/>
                </m:rPr>
                <w:rPr>
                  <w:rFonts w:ascii="Cambria Math" w:hAnsi="Cambria Math"/>
                </w:rPr>
                <m:t xml:space="preserve"> </m:t>
              </m:r>
            </m:oMath>
            <w:r w:rsidR="00B07970" w:rsidRPr="00B07970">
              <w:rPr>
                <w:rFonts w:ascii="Cambria Math" w:hAnsi="Cambria Math"/>
              </w:rPr>
              <w:t xml:space="preserve"> </w:t>
            </w:r>
          </w:p>
        </w:tc>
        <w:tc>
          <w:tcPr>
            <w:tcW w:w="6522" w:type="dxa"/>
          </w:tcPr>
          <w:p w14:paraId="5D6775E5" w14:textId="7AF17C5C" w:rsidR="00B07970" w:rsidRPr="00F42D02" w:rsidRDefault="00B07970" w:rsidP="00B07970">
            <w:pPr>
              <w:pStyle w:val="CETBodytext"/>
            </w:pPr>
            <w:r w:rsidRPr="008032AD">
              <w:t>Total expenditure without DSM implementation</w:t>
            </w:r>
          </w:p>
        </w:tc>
      </w:tr>
      <w:tr w:rsidR="00AD5AA8" w:rsidRPr="00D52ECD" w14:paraId="223040EF" w14:textId="77777777" w:rsidTr="00AD5AA8">
        <w:trPr>
          <w:trHeight w:val="269"/>
        </w:trPr>
        <w:tc>
          <w:tcPr>
            <w:tcW w:w="993" w:type="dxa"/>
          </w:tcPr>
          <w:p w14:paraId="5A71F6CA" w14:textId="3B05CB46" w:rsidR="00AD5AA8" w:rsidRPr="00B07970" w:rsidRDefault="00C90354" w:rsidP="00F42D02">
            <w:pPr>
              <w:pStyle w:val="CETBodytext"/>
              <w:rPr>
                <w:rFonts w:ascii="Cambria Math" w:hAnsi="Cambria Math"/>
              </w:rPr>
            </w:pP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07970" w:rsidRPr="00B07970">
              <w:rPr>
                <w:rFonts w:ascii="Cambria Math" w:hAnsi="Cambria Math"/>
              </w:rPr>
              <w:t xml:space="preserve"> </w:t>
            </w:r>
            <w:r w:rsidR="00AD5AA8" w:rsidRPr="00B07970">
              <w:rPr>
                <w:rFonts w:ascii="Cambria Math" w:hAnsi="Cambria Math"/>
              </w:rPr>
              <w:t xml:space="preserve"> </w:t>
            </w:r>
          </w:p>
        </w:tc>
        <w:tc>
          <w:tcPr>
            <w:tcW w:w="6522" w:type="dxa"/>
          </w:tcPr>
          <w:p w14:paraId="611593C6" w14:textId="0F54C7BD" w:rsidR="00AD5AA8" w:rsidRPr="00F42D02" w:rsidRDefault="00AD5AA8" w:rsidP="00F42D02">
            <w:pPr>
              <w:pStyle w:val="CETBodytext"/>
            </w:pPr>
            <w:r w:rsidRPr="00F42D02">
              <w:t>Oversizing factor [%]</w:t>
            </w:r>
          </w:p>
        </w:tc>
      </w:tr>
      <w:tr w:rsidR="00AD5AA8" w:rsidRPr="00D52ECD" w14:paraId="13CB7DFE" w14:textId="77777777" w:rsidTr="00AD5AA8">
        <w:trPr>
          <w:trHeight w:val="269"/>
        </w:trPr>
        <w:tc>
          <w:tcPr>
            <w:tcW w:w="993" w:type="dxa"/>
          </w:tcPr>
          <w:p w14:paraId="3037CC05" w14:textId="37287BA2" w:rsidR="00AD5AA8" w:rsidRPr="00B07970" w:rsidRDefault="00C90354" w:rsidP="00F42D02">
            <w:pPr>
              <w:pStyle w:val="CETBodytext"/>
              <w:rPr>
                <w:rFonts w:ascii="Cambria Math" w:hAnsi="Cambria Math"/>
              </w:rPr>
            </w:pPr>
            <m:oMath>
              <m:sSub>
                <m:sSubPr>
                  <m:ctrlPr>
                    <w:rPr>
                      <w:rFonts w:ascii="Cambria Math" w:hAnsi="Cambria Math"/>
                    </w:rPr>
                  </m:ctrlPr>
                </m:sSubPr>
                <m:e>
                  <m:r>
                    <w:rPr>
                      <w:rFonts w:ascii="Cambria Math" w:hAnsi="Cambria Math"/>
                    </w:rPr>
                    <m:t>a</m:t>
                  </m:r>
                </m:e>
                <m:sub>
                  <m:r>
                    <w:rPr>
                      <w:rFonts w:ascii="Cambria Math" w:hAnsi="Cambria Math"/>
                    </w:rPr>
                    <m:t>year</m:t>
                  </m:r>
                </m:sub>
              </m:sSub>
            </m:oMath>
            <w:r w:rsidR="00AD5AA8" w:rsidRPr="00B07970">
              <w:rPr>
                <w:rFonts w:ascii="Cambria Math" w:hAnsi="Cambria Math"/>
              </w:rPr>
              <w:t xml:space="preserve"> </w:t>
            </w:r>
          </w:p>
        </w:tc>
        <w:tc>
          <w:tcPr>
            <w:tcW w:w="6522" w:type="dxa"/>
          </w:tcPr>
          <w:p w14:paraId="679AA252" w14:textId="5A9B36A7" w:rsidR="00AD5AA8" w:rsidRPr="00F42D02" w:rsidRDefault="00AD5AA8" w:rsidP="00F42D02">
            <w:pPr>
              <w:pStyle w:val="CETBodytext"/>
            </w:pPr>
            <w:r w:rsidRPr="00F42D02">
              <w:t xml:space="preserve">Maximum average </w:t>
            </w:r>
            <w:r w:rsidR="00F913B6" w:rsidRPr="00F42D02">
              <w:t xml:space="preserve">electricity </w:t>
            </w:r>
            <w:r w:rsidRPr="00F42D02">
              <w:t xml:space="preserve">price of specific </w:t>
            </w:r>
            <w:r w:rsidR="00010CAB">
              <w:t>period of time</w:t>
            </w:r>
            <w:r w:rsidRPr="00F42D02">
              <w:t xml:space="preserve"> [€/kWh]</w:t>
            </w:r>
          </w:p>
        </w:tc>
      </w:tr>
      <w:tr w:rsidR="00AD5AA8" w:rsidRPr="00D52ECD" w14:paraId="32E5A94E" w14:textId="77777777" w:rsidTr="00AD5AA8">
        <w:trPr>
          <w:trHeight w:val="269"/>
        </w:trPr>
        <w:tc>
          <w:tcPr>
            <w:tcW w:w="993" w:type="dxa"/>
          </w:tcPr>
          <w:p w14:paraId="00AD3392" w14:textId="12DFB681" w:rsidR="00AD5AA8" w:rsidRPr="00B07970" w:rsidRDefault="00C90354" w:rsidP="00F42D02">
            <w:pPr>
              <w:pStyle w:val="CETBodytext"/>
              <w:rPr>
                <w:rFonts w:ascii="Cambria Math" w:hAnsi="Cambria Math"/>
              </w:rPr>
            </w:pPr>
            <m:oMath>
              <m:sSub>
                <m:sSubPr>
                  <m:ctrlPr>
                    <w:rPr>
                      <w:rFonts w:ascii="Cambria Math" w:hAnsi="Cambria Math"/>
                    </w:rPr>
                  </m:ctrlPr>
                </m:sSubPr>
                <m:e>
                  <m:r>
                    <w:rPr>
                      <w:rFonts w:ascii="Cambria Math" w:hAnsi="Cambria Math"/>
                    </w:rPr>
                    <m:t>b</m:t>
                  </m:r>
                </m:e>
                <m:sub>
                  <m:r>
                    <w:rPr>
                      <w:rFonts w:ascii="Cambria Math" w:hAnsi="Cambria Math"/>
                    </w:rPr>
                    <m:t>year</m:t>
                  </m:r>
                </m:sub>
              </m:sSub>
            </m:oMath>
            <w:r w:rsidR="00AD5AA8" w:rsidRPr="00B07970">
              <w:rPr>
                <w:rFonts w:ascii="Cambria Math" w:hAnsi="Cambria Math"/>
              </w:rPr>
              <w:t xml:space="preserve"> </w:t>
            </w:r>
          </w:p>
        </w:tc>
        <w:tc>
          <w:tcPr>
            <w:tcW w:w="6522" w:type="dxa"/>
          </w:tcPr>
          <w:p w14:paraId="0FA027A8" w14:textId="1C794BEB" w:rsidR="00AD5AA8" w:rsidRPr="00F42D02" w:rsidRDefault="00AD5AA8" w:rsidP="00F42D02">
            <w:pPr>
              <w:pStyle w:val="CETBodytext"/>
            </w:pPr>
            <w:r w:rsidRPr="00F42D02">
              <w:t xml:space="preserve">Electricity price variation of specific </w:t>
            </w:r>
            <w:r w:rsidR="00010CAB">
              <w:t>period of time</w:t>
            </w:r>
            <w:r w:rsidRPr="00F42D02">
              <w:t xml:space="preserve"> [€/(kW*h2)]</w:t>
            </w:r>
          </w:p>
        </w:tc>
      </w:tr>
      <w:tr w:rsidR="00AD5AA8" w:rsidRPr="00D52ECD" w14:paraId="20F7B44D" w14:textId="77777777" w:rsidTr="00AD5AA8">
        <w:trPr>
          <w:trHeight w:val="269"/>
        </w:trPr>
        <w:tc>
          <w:tcPr>
            <w:tcW w:w="993" w:type="dxa"/>
          </w:tcPr>
          <w:p w14:paraId="2F9CE22D" w14:textId="037D09A2" w:rsidR="00AD5AA8" w:rsidRPr="00B07970" w:rsidRDefault="00AB2849" w:rsidP="00F42D02">
            <w:pPr>
              <w:pStyle w:val="CETBodytext"/>
              <w:rPr>
                <w:rFonts w:ascii="Cambria Math" w:hAnsi="Cambria Math"/>
              </w:rPr>
            </w:pPr>
            <m:oMath>
              <m:r>
                <w:rPr>
                  <w:rFonts w:ascii="Cambria Math" w:hAnsi="Cambria Math"/>
                </w:rPr>
                <m:t>τ</m:t>
              </m:r>
            </m:oMath>
            <w:r w:rsidR="00AD5AA8" w:rsidRPr="00B07970">
              <w:rPr>
                <w:rFonts w:ascii="Cambria Math" w:hAnsi="Cambria Math"/>
              </w:rPr>
              <w:t xml:space="preserve"> </w:t>
            </w:r>
          </w:p>
        </w:tc>
        <w:tc>
          <w:tcPr>
            <w:tcW w:w="6522" w:type="dxa"/>
          </w:tcPr>
          <w:p w14:paraId="309DA975" w14:textId="76002F16" w:rsidR="00AD5AA8" w:rsidRPr="00F42D02" w:rsidRDefault="00010CAB" w:rsidP="00F42D02">
            <w:pPr>
              <w:pStyle w:val="CETBodytext"/>
            </w:pPr>
            <w:r>
              <w:t>Period of time</w:t>
            </w:r>
            <w:r w:rsidR="00AD5AA8" w:rsidRPr="00F42D02">
              <w:t xml:space="preserve"> [h]</w:t>
            </w:r>
          </w:p>
        </w:tc>
      </w:tr>
      <w:tr w:rsidR="00AD5AA8" w:rsidRPr="00D52ECD" w14:paraId="5C006CDF" w14:textId="77777777" w:rsidTr="00AD5AA8">
        <w:trPr>
          <w:trHeight w:val="269"/>
        </w:trPr>
        <w:tc>
          <w:tcPr>
            <w:tcW w:w="993" w:type="dxa"/>
          </w:tcPr>
          <w:p w14:paraId="59CCB6EA" w14:textId="229EA597" w:rsidR="00AD5AA8" w:rsidRPr="00B07970" w:rsidRDefault="00B07970" w:rsidP="00F42D02">
            <w:pPr>
              <w:pStyle w:val="CETBodytext"/>
              <w:rPr>
                <w:rFonts w:ascii="Cambria Math" w:hAnsi="Cambria Math"/>
              </w:rPr>
            </w:pPr>
            <m:oMath>
              <m:r>
                <w:rPr>
                  <w:rFonts w:ascii="Cambria Math" w:hAnsi="Cambria Math"/>
                </w:rPr>
                <m:t>EPC</m:t>
              </m:r>
            </m:oMath>
            <w:r w:rsidRPr="00B07970">
              <w:rPr>
                <w:rFonts w:ascii="Cambria Math" w:hAnsi="Cambria Math"/>
              </w:rPr>
              <w:t xml:space="preserve"> </w:t>
            </w:r>
          </w:p>
        </w:tc>
        <w:tc>
          <w:tcPr>
            <w:tcW w:w="6522" w:type="dxa"/>
          </w:tcPr>
          <w:p w14:paraId="1D921566" w14:textId="7BC6523E" w:rsidR="00AD5AA8" w:rsidRPr="00F42D02" w:rsidRDefault="00B07970" w:rsidP="00F42D02">
            <w:pPr>
              <w:pStyle w:val="CETBodytext"/>
            </w:pPr>
            <w:r>
              <w:t xml:space="preserve">Electric power consumption </w:t>
            </w:r>
            <w:r w:rsidRPr="008032AD">
              <w:t>of process</w:t>
            </w:r>
          </w:p>
        </w:tc>
      </w:tr>
      <w:tr w:rsidR="00B07970" w:rsidRPr="00D52ECD" w14:paraId="7719D9E2" w14:textId="77777777" w:rsidTr="00AD5AA8">
        <w:trPr>
          <w:trHeight w:val="269"/>
        </w:trPr>
        <w:tc>
          <w:tcPr>
            <w:tcW w:w="993" w:type="dxa"/>
          </w:tcPr>
          <w:p w14:paraId="1F71E2FB" w14:textId="773C476C"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τ</m:t>
                  </m:r>
                </m:e>
                <m:sub>
                  <m:r>
                    <w:rPr>
                      <w:rFonts w:ascii="Cambria Math" w:hAnsi="Cambria Math"/>
                    </w:rPr>
                    <m:t>oph</m:t>
                  </m:r>
                </m:sub>
              </m:sSub>
            </m:oMath>
            <w:r w:rsidR="00B07970" w:rsidRPr="00B07970">
              <w:rPr>
                <w:rFonts w:ascii="Cambria Math" w:hAnsi="Cambria Math"/>
              </w:rPr>
              <w:t xml:space="preserve"> </w:t>
            </w:r>
          </w:p>
        </w:tc>
        <w:tc>
          <w:tcPr>
            <w:tcW w:w="6522" w:type="dxa"/>
          </w:tcPr>
          <w:p w14:paraId="6F1D7E5D" w14:textId="1C669C96" w:rsidR="00B07970" w:rsidRPr="00F42D02" w:rsidRDefault="00B07970" w:rsidP="00B07970">
            <w:pPr>
              <w:pStyle w:val="CETBodytext"/>
            </w:pPr>
            <w:r w:rsidRPr="008032AD">
              <w:t>Yearly operating hours</w:t>
            </w:r>
            <w:r w:rsidRPr="00F42D02">
              <w:t xml:space="preserve"> [h/a]</w:t>
            </w:r>
          </w:p>
        </w:tc>
      </w:tr>
      <w:tr w:rsidR="00B07970" w:rsidRPr="00D52ECD" w14:paraId="5ACC8494" w14:textId="77777777" w:rsidTr="00AD5AA8">
        <w:trPr>
          <w:trHeight w:val="269"/>
        </w:trPr>
        <w:tc>
          <w:tcPr>
            <w:tcW w:w="993" w:type="dxa"/>
          </w:tcPr>
          <w:p w14:paraId="1F0E9709" w14:textId="23EDE805" w:rsidR="00B07970" w:rsidRPr="00B07970" w:rsidRDefault="00C90354" w:rsidP="00B07970">
            <w:pPr>
              <w:pStyle w:val="CETBodytext"/>
              <w:rPr>
                <w:rFonts w:ascii="Cambria Math" w:hAnsi="Cambria Math"/>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argPr>
                    <m:argSz m:val="-1"/>
                  </m:argPr>
                  <m:r>
                    <w:rPr>
                      <w:rFonts w:ascii="Cambria Math" w:hAnsi="Cambria Math"/>
                    </w:rPr>
                    <m:t>buf</m:t>
                  </m:r>
                </m:sub>
              </m:sSub>
            </m:oMath>
            <w:r w:rsidR="00B07970" w:rsidRPr="00B07970">
              <w:rPr>
                <w:rFonts w:ascii="Cambria Math" w:hAnsi="Cambria Math"/>
              </w:rPr>
              <w:t xml:space="preserve"> </w:t>
            </w:r>
          </w:p>
        </w:tc>
        <w:tc>
          <w:tcPr>
            <w:tcW w:w="6522" w:type="dxa"/>
          </w:tcPr>
          <w:p w14:paraId="0DC507E5" w14:textId="78EACDB9" w:rsidR="00B07970" w:rsidRPr="008032AD" w:rsidRDefault="00B07970" w:rsidP="00B07970">
            <w:pPr>
              <w:pStyle w:val="CETBodytext"/>
            </w:pPr>
            <w:r>
              <w:t xml:space="preserve"> </w:t>
            </w:r>
            <w:r w:rsidRPr="008032AD">
              <w:t xml:space="preserve">Mass flow </w:t>
            </w:r>
            <w:r>
              <w:t>considered for buffer tank</w:t>
            </w:r>
          </w:p>
        </w:tc>
      </w:tr>
      <w:tr w:rsidR="00B07970" w:rsidRPr="00D52ECD" w14:paraId="7B1B02E3" w14:textId="77777777" w:rsidTr="00AD5AA8">
        <w:trPr>
          <w:trHeight w:val="269"/>
        </w:trPr>
        <w:tc>
          <w:tcPr>
            <w:tcW w:w="993" w:type="dxa"/>
          </w:tcPr>
          <w:p w14:paraId="35C89E1A" w14:textId="39BD419F"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I</m:t>
                  </m:r>
                </m:e>
                <m:sub>
                  <m: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m:t>
                  </m:r>
                </m:e>
                <m:sub>
                  <m:r>
                    <w:rPr>
                      <w:rFonts w:ascii="Cambria Math" w:hAnsi="Cambria Math"/>
                    </w:rPr>
                    <m:t>buf</m:t>
                  </m:r>
                </m:sub>
              </m:sSub>
            </m:oMath>
            <w:r w:rsidR="00B07970" w:rsidRPr="00B07970">
              <w:rPr>
                <w:rFonts w:ascii="Cambria Math" w:hAnsi="Cambria Math"/>
              </w:rPr>
              <w:t xml:space="preserve"> </w:t>
            </w:r>
          </w:p>
        </w:tc>
        <w:tc>
          <w:tcPr>
            <w:tcW w:w="6522" w:type="dxa"/>
          </w:tcPr>
          <w:p w14:paraId="6C660D9B" w14:textId="794AA6B6" w:rsidR="00B07970" w:rsidRPr="00F42D02" w:rsidRDefault="00B07970" w:rsidP="00B07970">
            <w:pPr>
              <w:pStyle w:val="CETBodytext"/>
            </w:pPr>
            <w:r w:rsidRPr="00F42D02">
              <w:t>Investment for process, buffer tank [€]</w:t>
            </w:r>
          </w:p>
        </w:tc>
      </w:tr>
      <w:tr w:rsidR="00B07970" w:rsidRPr="00D52ECD" w14:paraId="47364E16" w14:textId="77777777" w:rsidTr="00AD5AA8">
        <w:trPr>
          <w:trHeight w:val="269"/>
        </w:trPr>
        <w:tc>
          <w:tcPr>
            <w:tcW w:w="993" w:type="dxa"/>
          </w:tcPr>
          <w:p w14:paraId="564ABDB1" w14:textId="4DED57C6"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r</m:t>
                  </m:r>
                </m:e>
                <m:sub>
                  <m:r>
                    <w:rPr>
                      <w:rFonts w:ascii="Cambria Math" w:hAnsi="Cambria Math"/>
                    </w:rPr>
                    <m:t>p</m:t>
                  </m:r>
                </m:sub>
              </m:sSub>
            </m:oMath>
            <w:r w:rsidR="00B07970" w:rsidRPr="00B07970">
              <w:rPr>
                <w:rFonts w:ascii="Cambria Math" w:hAnsi="Cambria Math"/>
              </w:rPr>
              <w:t xml:space="preserve">, </w:t>
            </w:r>
            <m:oMath>
              <m:sSub>
                <m:sSubPr>
                  <m:ctrlPr>
                    <w:rPr>
                      <w:rFonts w:ascii="Cambria Math" w:hAnsi="Cambria Math"/>
                    </w:rPr>
                  </m:ctrlPr>
                </m:sSubPr>
                <m:e>
                  <m:r>
                    <w:rPr>
                      <w:rFonts w:ascii="Cambria Math" w:hAnsi="Cambria Math"/>
                    </w:rPr>
                    <m:t>r</m:t>
                  </m:r>
                </m:e>
                <m:sub>
                  <m:r>
                    <w:rPr>
                      <w:rFonts w:ascii="Cambria Math" w:hAnsi="Cambria Math"/>
                    </w:rPr>
                    <m:t>buf</m:t>
                  </m:r>
                </m:sub>
              </m:sSub>
            </m:oMath>
          </w:p>
        </w:tc>
        <w:tc>
          <w:tcPr>
            <w:tcW w:w="6522" w:type="dxa"/>
          </w:tcPr>
          <w:p w14:paraId="0C5C19A1" w14:textId="5B9212FB" w:rsidR="00B07970" w:rsidRPr="00F42D02" w:rsidRDefault="00B07970" w:rsidP="00B07970">
            <w:pPr>
              <w:pStyle w:val="CETBodytext"/>
            </w:pPr>
            <w:r w:rsidRPr="00F42D02">
              <w:t>Expense ratio of process, buffer tank [%/a]</w:t>
            </w:r>
          </w:p>
        </w:tc>
      </w:tr>
      <w:tr w:rsidR="00B07970" w:rsidRPr="00D52ECD" w14:paraId="5DC64EBE" w14:textId="77777777" w:rsidTr="00AD5AA8">
        <w:trPr>
          <w:trHeight w:val="269"/>
        </w:trPr>
        <w:tc>
          <w:tcPr>
            <w:tcW w:w="993" w:type="dxa"/>
          </w:tcPr>
          <w:p w14:paraId="095E75EA" w14:textId="7E5E0FF3" w:rsidR="00B07970" w:rsidRPr="00B07970" w:rsidRDefault="00C90354" w:rsidP="00B07970">
            <w:pPr>
              <w:pStyle w:val="CETBodytext"/>
              <w:rPr>
                <w:rFonts w:ascii="Cambria Math" w:hAnsi="Cambria Math"/>
              </w:rPr>
            </w:pPr>
            <m:oMath>
              <m:sSub>
                <m:sSubPr>
                  <m:ctrlPr>
                    <w:rPr>
                      <w:rFonts w:ascii="Cambria Math" w:hAnsi="Cambria Math"/>
                    </w:rPr>
                  </m:ctrlPr>
                </m:sSubPr>
                <m:e>
                  <m:r>
                    <w:rPr>
                      <w:rFonts w:ascii="Cambria Math" w:hAnsi="Cambria Math"/>
                    </w:rPr>
                    <m:t>R</m:t>
                  </m:r>
                </m:e>
                <m:sub>
                  <m:r>
                    <w:rPr>
                      <w:rFonts w:ascii="Cambria Math" w:hAnsi="Cambria Math"/>
                    </w:rPr>
                    <m:t>p</m:t>
                  </m:r>
                </m:sub>
              </m:sSub>
            </m:oMath>
            <w:r w:rsidR="00B07970" w:rsidRPr="00B07970">
              <w:rPr>
                <w:rFonts w:ascii="Cambria Math" w:hAnsi="Cambria Math"/>
              </w:rPr>
              <w:t xml:space="preserve">, </w:t>
            </w:r>
            <m:oMath>
              <m:sSub>
                <m:sSubPr>
                  <m:ctrlPr>
                    <w:rPr>
                      <w:rFonts w:ascii="Cambria Math" w:hAnsi="Cambria Math"/>
                    </w:rPr>
                  </m:ctrlPr>
                </m:sSubPr>
                <m:e>
                  <m:r>
                    <w:rPr>
                      <w:rFonts w:ascii="Cambria Math" w:hAnsi="Cambria Math"/>
                    </w:rPr>
                    <m:t>R</m:t>
                  </m:r>
                </m:e>
                <m:sub>
                  <m:r>
                    <w:rPr>
                      <w:rFonts w:ascii="Cambria Math" w:hAnsi="Cambria Math"/>
                    </w:rPr>
                    <m:t>buf</m:t>
                  </m:r>
                </m:sub>
              </m:sSub>
            </m:oMath>
          </w:p>
        </w:tc>
        <w:tc>
          <w:tcPr>
            <w:tcW w:w="6522" w:type="dxa"/>
          </w:tcPr>
          <w:p w14:paraId="07DE5645" w14:textId="0795615E" w:rsidR="00B07970" w:rsidRPr="00F42D02" w:rsidRDefault="00B07970" w:rsidP="00B07970">
            <w:pPr>
              <w:pStyle w:val="CETBodytext"/>
            </w:pPr>
            <w:r w:rsidRPr="00F42D02">
              <w:t>Economies of scale of process, buffer tank [-]</w:t>
            </w:r>
          </w:p>
        </w:tc>
      </w:tr>
      <w:bookmarkEnd w:id="13"/>
    </w:tbl>
    <w:p w14:paraId="1BC7A485" w14:textId="77777777" w:rsidR="00E4233D" w:rsidRPr="00D52ECD" w:rsidRDefault="00E4233D" w:rsidP="00F42D02">
      <w:pPr>
        <w:pStyle w:val="CETBodytext"/>
        <w:rPr>
          <w:lang w:eastAsia="de-DE"/>
        </w:rPr>
      </w:pPr>
    </w:p>
    <w:p w14:paraId="1969F104" w14:textId="207A177D" w:rsidR="00F20AFF" w:rsidRPr="00120124" w:rsidRDefault="00F20AFF" w:rsidP="00F42D02">
      <w:pPr>
        <w:pStyle w:val="CETBodytext"/>
        <w:rPr>
          <w:lang w:eastAsia="de-DE"/>
        </w:rPr>
      </w:pPr>
      <w:r w:rsidRPr="00120124">
        <w:rPr>
          <w:lang w:eastAsia="de-DE"/>
        </w:rPr>
        <w:t xml:space="preserve">The </w:t>
      </w:r>
      <m:oMath>
        <m:sSub>
          <m:sSubPr>
            <m:ctrlPr>
              <w:rPr>
                <w:rFonts w:ascii="Cambria Math" w:hAnsi="Cambria Math"/>
                <w:i/>
                <w:sz w:val="24"/>
                <w:szCs w:val="24"/>
              </w:rPr>
            </m:ctrlPr>
          </m:sSubPr>
          <m:e>
            <m:r>
              <w:rPr>
                <w:rFonts w:ascii="Cambria Math" w:hAnsi="Cambria Math"/>
                <w:lang w:eastAsia="de-DE"/>
              </w:rPr>
              <m:t>F</m:t>
            </m:r>
          </m:e>
          <m:sub>
            <m:r>
              <w:rPr>
                <w:rFonts w:ascii="Cambria Math" w:hAnsi="Cambria Math"/>
                <w:lang w:eastAsia="de-DE"/>
              </w:rPr>
              <m:t>os</m:t>
            </m:r>
          </m:sub>
        </m:sSub>
      </m:oMath>
      <w:r w:rsidR="00F249C0">
        <w:rPr>
          <w:sz w:val="24"/>
          <w:szCs w:val="24"/>
        </w:rPr>
        <w:t xml:space="preserve"> </w:t>
      </w:r>
      <w:r>
        <w:rPr>
          <w:lang w:eastAsia="de-DE"/>
        </w:rPr>
        <w:t xml:space="preserve">of a process </w:t>
      </w:r>
      <w:r w:rsidRPr="00120124">
        <w:rPr>
          <w:lang w:eastAsia="de-DE"/>
        </w:rPr>
        <w:t xml:space="preserve">is </w:t>
      </w:r>
      <w:r>
        <w:rPr>
          <w:lang w:eastAsia="de-DE"/>
        </w:rPr>
        <w:t>dependent</w:t>
      </w:r>
      <w:r w:rsidRPr="00120124">
        <w:rPr>
          <w:lang w:eastAsia="de-DE"/>
        </w:rPr>
        <w:t xml:space="preserve"> on the </w:t>
      </w:r>
      <w:r w:rsidR="00B94536">
        <w:rPr>
          <w:lang w:eastAsia="de-DE"/>
        </w:rPr>
        <w:t>switch-off</w:t>
      </w:r>
      <w:r w:rsidRPr="00120124">
        <w:rPr>
          <w:lang w:eastAsia="de-DE"/>
        </w:rPr>
        <w:t xml:space="preserve"> time</w:t>
      </w:r>
      <w:r>
        <w:rPr>
          <w:lang w:eastAsia="de-DE"/>
        </w:rPr>
        <w:t xml:space="preserve"> </w:t>
      </w:r>
      <m:oMath>
        <m:r>
          <w:rPr>
            <w:rFonts w:ascii="Cambria Math" w:hAnsi="Cambria Math"/>
            <w:lang w:eastAsia="de-DE"/>
          </w:rPr>
          <m:t>(</m:t>
        </m:r>
        <m:sSub>
          <m:sSubPr>
            <m:ctrlPr>
              <w:rPr>
                <w:rFonts w:ascii="Cambria Math" w:hAnsi="Cambria Math"/>
                <w:lang w:eastAsia="de-DE"/>
              </w:rPr>
            </m:ctrlPr>
          </m:sSubPr>
          <m:e>
            <m:r>
              <w:rPr>
                <w:rFonts w:ascii="Cambria Math" w:hAnsi="Cambria Math"/>
                <w:lang w:eastAsia="de-DE"/>
              </w:rPr>
              <m:t>t</m:t>
            </m:r>
          </m:e>
          <m:sub>
            <m:r>
              <w:rPr>
                <w:rFonts w:ascii="Cambria Math" w:hAnsi="Cambria Math"/>
                <w:lang w:eastAsia="de-DE"/>
              </w:rPr>
              <m:t>app</m:t>
            </m:r>
          </m:sub>
        </m:sSub>
        <m:r>
          <w:rPr>
            <w:rFonts w:ascii="Cambria Math" w:hAnsi="Cambria Math"/>
            <w:lang w:eastAsia="de-DE"/>
          </w:rPr>
          <m:t>)</m:t>
        </m:r>
      </m:oMath>
      <w:r w:rsidRPr="00120124">
        <w:rPr>
          <w:lang w:eastAsia="de-DE"/>
        </w:rPr>
        <w:t>, according to the following formula</w:t>
      </w:r>
      <w:r>
        <w:rPr>
          <w:lang w:eastAsia="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1"/>
        <w:gridCol w:w="466"/>
      </w:tblGrid>
      <w:tr w:rsidR="00F20AFF" w:rsidRPr="00D52ECD" w14:paraId="19B897BC" w14:textId="77777777" w:rsidTr="00607707">
        <w:trPr>
          <w:trHeight w:val="567"/>
        </w:trPr>
        <w:tc>
          <w:tcPr>
            <w:tcW w:w="8595" w:type="dxa"/>
          </w:tcPr>
          <w:p w14:paraId="104FE2D9" w14:textId="5EE3E9B7" w:rsidR="00F20AFF" w:rsidRPr="00915A56" w:rsidRDefault="00C90354" w:rsidP="00A84077">
            <w:pPr>
              <w:pStyle w:val="CETBodytext"/>
              <w:jc w:val="center"/>
              <w:rPr>
                <w:lang w:eastAsia="de-DE"/>
              </w:rPr>
            </w:pPr>
            <m:oMathPara>
              <m:oMath>
                <m:sSub>
                  <m:sSubPr>
                    <m:ctrlPr>
                      <w:rPr>
                        <w:rFonts w:ascii="Cambria Math" w:hAnsi="Cambria Math"/>
                      </w:rPr>
                    </m:ctrlPr>
                  </m:sSubPr>
                  <m:e>
                    <m:r>
                      <w:rPr>
                        <w:rFonts w:ascii="Cambria Math" w:hAnsi="Cambria Math"/>
                      </w:rPr>
                      <m:t>F</m:t>
                    </m:r>
                  </m:e>
                  <m:sub>
                    <m:r>
                      <w:rPr>
                        <w:rFonts w:ascii="Cambria Math" w:hAnsi="Cambria Math"/>
                      </w:rPr>
                      <m:t>os</m:t>
                    </m:r>
                  </m:sub>
                </m:sSub>
                <m:r>
                  <m:rPr>
                    <m:sty m:val="p"/>
                  </m:rPr>
                  <w:rPr>
                    <w:rFonts w:ascii="Cambria Math" w:hAnsi="Cambria Math"/>
                  </w:rPr>
                  <m:t xml:space="preserve"> </m:t>
                </m:r>
                <m:r>
                  <m:rPr>
                    <m:sty m:val="p"/>
                  </m:rPr>
                  <w:rPr>
                    <w:rFonts w:ascii="Cambria Math" w:hAnsi="Cambria Math"/>
                    <w:lang w:eastAsia="de-DE"/>
                  </w:rPr>
                  <m:t>=</m:t>
                </m:r>
                <m:f>
                  <m:fPr>
                    <m:ctrlPr>
                      <w:rPr>
                        <w:rFonts w:ascii="Cambria Math" w:hAnsi="Cambria Math"/>
                        <w:lang w:eastAsia="de-DE"/>
                      </w:rPr>
                    </m:ctrlPr>
                  </m:fPr>
                  <m:num>
                    <m:sSub>
                      <m:sSubPr>
                        <m:ctrlPr>
                          <w:rPr>
                            <w:rFonts w:ascii="Cambria Math" w:hAnsi="Cambria Math"/>
                            <w:lang w:eastAsia="de-DE"/>
                          </w:rPr>
                        </m:ctrlPr>
                      </m:sSubPr>
                      <m:e>
                        <m:r>
                          <w:rPr>
                            <w:rFonts w:ascii="Cambria Math" w:hAnsi="Cambria Math"/>
                            <w:lang w:eastAsia="de-DE"/>
                          </w:rPr>
                          <m:t>t</m:t>
                        </m:r>
                      </m:e>
                      <m:sub>
                        <m:r>
                          <w:rPr>
                            <w:rFonts w:ascii="Cambria Math" w:hAnsi="Cambria Math"/>
                            <w:lang w:eastAsia="de-DE"/>
                          </w:rPr>
                          <m:t>app</m:t>
                        </m:r>
                      </m:sub>
                    </m:sSub>
                  </m:num>
                  <m:den>
                    <m:r>
                      <w:rPr>
                        <w:rFonts w:ascii="Cambria Math" w:hAnsi="Cambria Math"/>
                      </w:rPr>
                      <m:t>τ</m:t>
                    </m:r>
                    <m:r>
                      <m:rPr>
                        <m:sty m:val="p"/>
                      </m:rPr>
                      <w:rPr>
                        <w:rFonts w:ascii="Cambria Math" w:hAnsi="Cambria Math"/>
                        <w:lang w:eastAsia="de-DE"/>
                      </w:rPr>
                      <m:t>-</m:t>
                    </m:r>
                    <m:sSub>
                      <m:sSubPr>
                        <m:ctrlPr>
                          <w:rPr>
                            <w:rFonts w:ascii="Cambria Math" w:hAnsi="Cambria Math"/>
                            <w:lang w:eastAsia="de-DE"/>
                          </w:rPr>
                        </m:ctrlPr>
                      </m:sSubPr>
                      <m:e>
                        <m:r>
                          <w:rPr>
                            <w:rFonts w:ascii="Cambria Math" w:hAnsi="Cambria Math"/>
                            <w:lang w:eastAsia="de-DE"/>
                          </w:rPr>
                          <m:t>t</m:t>
                        </m:r>
                      </m:e>
                      <m:sub>
                        <m:r>
                          <w:rPr>
                            <w:rFonts w:ascii="Cambria Math" w:hAnsi="Cambria Math"/>
                            <w:lang w:eastAsia="de-DE"/>
                          </w:rPr>
                          <m:t>app</m:t>
                        </m:r>
                      </m:sub>
                    </m:sSub>
                  </m:den>
                </m:f>
              </m:oMath>
            </m:oMathPara>
          </w:p>
        </w:tc>
        <w:tc>
          <w:tcPr>
            <w:tcW w:w="467" w:type="dxa"/>
            <w:vAlign w:val="center"/>
          </w:tcPr>
          <w:p w14:paraId="63BE61BE" w14:textId="0282852B" w:rsidR="00F20AFF" w:rsidRPr="00D52ECD" w:rsidRDefault="00F20AFF" w:rsidP="00F42D02">
            <w:pPr>
              <w:pStyle w:val="CETBodytext"/>
              <w:rPr>
                <w:sz w:val="20"/>
                <w:lang w:eastAsia="de-DE"/>
              </w:rPr>
            </w:pPr>
            <w:r w:rsidRPr="00D52ECD">
              <w:t>(</w:t>
            </w:r>
            <w:r w:rsidRPr="00D52ECD">
              <w:fldChar w:fldCharType="begin"/>
            </w:r>
            <w:r w:rsidRPr="00D52ECD">
              <w:instrText xml:space="preserve"> SEQ Formel \* ARABIC </w:instrText>
            </w:r>
            <w:r w:rsidRPr="00D52ECD">
              <w:fldChar w:fldCharType="separate"/>
            </w:r>
            <w:r w:rsidR="0070417C">
              <w:rPr>
                <w:noProof/>
              </w:rPr>
              <w:t>4</w:t>
            </w:r>
            <w:r w:rsidRPr="00D52ECD">
              <w:fldChar w:fldCharType="end"/>
            </w:r>
            <w:r w:rsidRPr="00D52ECD">
              <w:t>)</w:t>
            </w:r>
          </w:p>
        </w:tc>
      </w:tr>
    </w:tbl>
    <w:p w14:paraId="0871CE54" w14:textId="098FC442" w:rsidR="00AA2874" w:rsidRPr="00871EF8" w:rsidRDefault="00F913B6" w:rsidP="00871EF8">
      <w:pPr>
        <w:pStyle w:val="CETBodytext"/>
        <w:rPr>
          <w:rFonts w:eastAsiaTheme="minorEastAsia"/>
        </w:rPr>
      </w:pPr>
      <w:r w:rsidRPr="00871EF8">
        <w:t>Cherry-Picking (CP) values</w:t>
      </w:r>
      <w:r w:rsidR="0027215A" w:rsidRPr="00871EF8">
        <w:t>,</w:t>
      </w:r>
      <w:r w:rsidRPr="00871EF8">
        <w:t xml:space="preserve"> </w:t>
      </w:r>
      <w:r w:rsidR="0027215A" w:rsidRPr="00871EF8">
        <w:t xml:space="preserve">obtained from the German power market database toolbox </w:t>
      </w:r>
      <w:r w:rsidR="0027215A" w:rsidRPr="00871EF8">
        <w:fldChar w:fldCharType="begin"/>
      </w:r>
      <w:r w:rsidR="00640147" w:rsidRPr="00871EF8">
        <w:instrText>ADDIN CITAVI.PLACEHOLDER 5997c647-dad7-462e-9051-00507fb840f8 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XJ0aW4gRG90emF1ZXIpPC9UZXh0Pg0KICAgIDwvVGV4dFVuaXQ+DQogIDwvVGV4dFVuaXRzPg0KPC9QbGFjZWhvbGRlcj4=</w:instrText>
      </w:r>
      <w:r w:rsidR="0027215A" w:rsidRPr="00871EF8">
        <w:fldChar w:fldCharType="separate"/>
      </w:r>
      <w:bookmarkStart w:id="14" w:name="_CTVP0015997c647dad7462e905100507fb840f8"/>
      <w:r w:rsidR="00640147" w:rsidRPr="00871EF8">
        <w:t>(Martin Dotzauer)</w:t>
      </w:r>
      <w:bookmarkEnd w:id="14"/>
      <w:r w:rsidR="0027215A" w:rsidRPr="00871EF8">
        <w:fldChar w:fldCharType="end"/>
      </w:r>
      <w:r w:rsidR="0027215A" w:rsidRPr="00871EF8">
        <w:t xml:space="preserve">, </w:t>
      </w:r>
      <w:r w:rsidRPr="00871EF8">
        <w:t xml:space="preserve">describe average electricity prices, and how they drop if electricity peaks are avoided. The longer a process can be switched off, </w:t>
      </w:r>
      <w:r w:rsidR="00DB0120" w:rsidRPr="00871EF8">
        <w:t>the lower the average annual electricity price</w:t>
      </w:r>
      <w:r w:rsidRPr="00871EF8">
        <w:t xml:space="preserve">. </w:t>
      </w:r>
      <w:r w:rsidR="0053734A" w:rsidRPr="00871EF8">
        <w:t xml:space="preserve">A more thorough description of this effect can be found in (Röder et al. 2023). </w:t>
      </w:r>
      <w:r w:rsidR="00E849DA" w:rsidRPr="00871EF8">
        <w:rPr>
          <w:rFonts w:eastAsiaTheme="minorEastAsia"/>
        </w:rPr>
        <w:t>The rate at which the average price decreases, is dependent on the switch-off time</w:t>
      </w:r>
      <m:oMath>
        <m:r>
          <m:rPr>
            <m:sty m:val="p"/>
          </m:rPr>
          <w:rPr>
            <w:rFonts w:ascii="Cambria Math" w:eastAsiaTheme="minorEastAsia"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app</m:t>
            </m:r>
          </m:sub>
        </m:sSub>
        <m:r>
          <m:rPr>
            <m:sty m:val="p"/>
          </m:rPr>
          <w:rPr>
            <w:rFonts w:ascii="Cambria Math" w:hAnsi="Cambria Math"/>
          </w:rPr>
          <m:t>)</m:t>
        </m:r>
      </m:oMath>
      <w:r w:rsidR="00E849DA" w:rsidRPr="00871EF8">
        <w:rPr>
          <w:rFonts w:eastAsiaTheme="minorEastAsia"/>
        </w:rPr>
        <w:t xml:space="preserve">, is described by </w:t>
      </w:r>
      <m:oMath>
        <m:sSub>
          <m:sSubPr>
            <m:ctrlPr>
              <w:rPr>
                <w:rFonts w:ascii="Cambria Math" w:hAnsi="Cambria Math"/>
              </w:rPr>
            </m:ctrlPr>
          </m:sSubPr>
          <m:e>
            <m:r>
              <w:rPr>
                <w:rFonts w:ascii="Cambria Math" w:hAnsi="Cambria Math"/>
              </w:rPr>
              <m:t>b</m:t>
            </m:r>
          </m:e>
          <m:sub>
            <m:r>
              <w:rPr>
                <w:rFonts w:ascii="Cambria Math" w:hAnsi="Cambria Math"/>
              </w:rPr>
              <m:t>year</m:t>
            </m:r>
          </m:sub>
        </m:sSub>
      </m:oMath>
      <w:r w:rsidR="00E849DA" w:rsidRPr="00871EF8">
        <w:rPr>
          <w:rFonts w:eastAsiaTheme="minorEastAsia"/>
        </w:rPr>
        <w:t xml:space="preserve">. A lower average electricity price then leads to lower </w:t>
      </w: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00E849DA" w:rsidRPr="00871EF8">
        <w:rPr>
          <w:rFonts w:eastAsiaTheme="minorEastAsia"/>
        </w:rPr>
        <w:t xml:space="preserve">. </w:t>
      </w:r>
      <w:r w:rsidRPr="00871EF8">
        <w:t xml:space="preserve">If a process </w:t>
      </w:r>
      <w:r w:rsidR="0071465A" w:rsidRPr="00871EF8">
        <w:t>is</w:t>
      </w:r>
      <w:r w:rsidRPr="00871EF8">
        <w:t xml:space="preserve"> operated continuously, thus </w:t>
      </w:r>
      <m:oMath>
        <m:sSub>
          <m:sSubPr>
            <m:ctrlPr>
              <w:rPr>
                <w:rFonts w:ascii="Cambria Math" w:hAnsi="Cambria Math"/>
              </w:rPr>
            </m:ctrlPr>
          </m:sSubPr>
          <m:e>
            <m:r>
              <w:rPr>
                <w:rFonts w:ascii="Cambria Math" w:hAnsi="Cambria Math"/>
              </w:rPr>
              <m:t>t</m:t>
            </m:r>
          </m:e>
          <m:sub>
            <m:r>
              <w:rPr>
                <w:rFonts w:ascii="Cambria Math" w:hAnsi="Cambria Math"/>
              </w:rPr>
              <m:t>app</m:t>
            </m:r>
          </m:sub>
        </m:sSub>
        <m:r>
          <m:rPr>
            <m:sty m:val="p"/>
          </m:rPr>
          <w:rPr>
            <w:rFonts w:ascii="Cambria Math" w:hAnsi="Cambria Math"/>
          </w:rPr>
          <m:t>=0</m:t>
        </m:r>
      </m:oMath>
      <w:r w:rsidRPr="00871EF8">
        <w:t xml:space="preserve">, the average yearly electricity price equals </w:t>
      </w:r>
      <m:oMath>
        <m:sSub>
          <m:sSubPr>
            <m:ctrlPr>
              <w:rPr>
                <w:rFonts w:ascii="Cambria Math" w:hAnsi="Cambria Math"/>
              </w:rPr>
            </m:ctrlPr>
          </m:sSubPr>
          <m:e>
            <m:r>
              <w:rPr>
                <w:rFonts w:ascii="Cambria Math" w:hAnsi="Cambria Math"/>
              </w:rPr>
              <m:t>a</m:t>
            </m:r>
          </m:e>
          <m:sub>
            <m:r>
              <w:rPr>
                <w:rFonts w:ascii="Cambria Math" w:hAnsi="Cambria Math"/>
              </w:rPr>
              <m:t>year</m:t>
            </m:r>
          </m:sub>
        </m:sSub>
      </m:oMath>
      <w:r w:rsidRPr="00871EF8">
        <w:t xml:space="preserve">. </w:t>
      </w:r>
    </w:p>
    <w:p w14:paraId="022D143A" w14:textId="5B59EDCD" w:rsidR="00AA2874" w:rsidRPr="00871EF8" w:rsidRDefault="0053734A" w:rsidP="00871EF8">
      <w:pPr>
        <w:pStyle w:val="CETBodytext"/>
      </w:pPr>
      <w:r w:rsidRPr="00871EF8">
        <w:t xml:space="preserve">The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F249C0" w:rsidRPr="00871EF8">
        <w:t xml:space="preserve"> was</w:t>
      </w:r>
      <w:r w:rsidRPr="00871EF8">
        <w:t xml:space="preserve"> calculated so that at the end of the day, the same amount of cumulative product flow remains, although the process is turned off for </w:t>
      </w:r>
      <m:oMath>
        <m:sSub>
          <m:sSubPr>
            <m:ctrlPr>
              <w:rPr>
                <w:rFonts w:ascii="Cambria Math" w:hAnsi="Cambria Math"/>
              </w:rPr>
            </m:ctrlPr>
          </m:sSubPr>
          <m:e>
            <m:r>
              <w:rPr>
                <w:rFonts w:ascii="Cambria Math" w:hAnsi="Cambria Math"/>
              </w:rPr>
              <m:t>t</m:t>
            </m:r>
          </m:e>
          <m:sub>
            <m:r>
              <w:rPr>
                <w:rFonts w:ascii="Cambria Math" w:hAnsi="Cambria Math"/>
              </w:rPr>
              <m:t>app</m:t>
            </m:r>
          </m:sub>
        </m:sSub>
      </m:oMath>
      <w:r w:rsidRPr="00871EF8">
        <w:t xml:space="preserve">. </w:t>
      </w:r>
      <w:r w:rsidR="00F20AFF" w:rsidRPr="00871EF8">
        <w:t xml:space="preserve">A longer </w:t>
      </w:r>
      <m:oMath>
        <m:sSub>
          <m:sSubPr>
            <m:ctrlPr>
              <w:rPr>
                <w:rFonts w:ascii="Cambria Math" w:hAnsi="Cambria Math"/>
              </w:rPr>
            </m:ctrlPr>
          </m:sSubPr>
          <m:e>
            <m:r>
              <w:rPr>
                <w:rFonts w:ascii="Cambria Math" w:hAnsi="Cambria Math"/>
              </w:rPr>
              <m:t>t</m:t>
            </m:r>
          </m:e>
          <m:sub>
            <m:r>
              <w:rPr>
                <w:rFonts w:ascii="Cambria Math" w:hAnsi="Cambria Math"/>
              </w:rPr>
              <m:t>app</m:t>
            </m:r>
          </m:sub>
        </m:sSub>
      </m:oMath>
      <w:r w:rsidR="00F20AFF" w:rsidRPr="00871EF8">
        <w:t xml:space="preserve"> and</w:t>
      </w:r>
      <w:r w:rsidR="00F35392" w:rsidRPr="00871EF8">
        <w:t>,</w:t>
      </w:r>
      <w:r w:rsidR="00F20AFF" w:rsidRPr="00871EF8">
        <w:t xml:space="preserve"> thus</w:t>
      </w:r>
      <w:r w:rsidR="00F35392" w:rsidRPr="00871EF8">
        <w:t>,</w:t>
      </w:r>
      <w:r w:rsidR="00F20AFF" w:rsidRPr="00871EF8">
        <w:t xml:space="preserve"> greater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20458" w:rsidRPr="00871EF8">
        <w:t xml:space="preserve"> also </w:t>
      </w:r>
      <w:r w:rsidR="00F20AFF" w:rsidRPr="00871EF8">
        <w:t>causes a rise in</w:t>
      </w:r>
      <w:r w:rsidR="00B20458" w:rsidRPr="00871EF8">
        <w:t xml:space="preserve"> investment </w:t>
      </w:r>
      <w:r w:rsidR="00F20AFF" w:rsidRPr="00871EF8">
        <w:t xml:space="preserve">for process </w:t>
      </w:r>
      <m:oMath>
        <m:sSub>
          <m:sSubPr>
            <m:ctrlPr>
              <w:rPr>
                <w:rFonts w:ascii="Cambria Math" w:hAnsi="Cambria Math"/>
              </w:rPr>
            </m:ctrlPr>
          </m:sSubPr>
          <m:e>
            <m:r>
              <w:rPr>
                <w:rFonts w:ascii="Cambria Math" w:hAnsi="Cambria Math"/>
              </w:rPr>
              <m:t>I</m:t>
            </m:r>
          </m:e>
          <m:sub>
            <m:r>
              <w:rPr>
                <w:rFonts w:ascii="Cambria Math" w:hAnsi="Cambria Math"/>
              </w:rPr>
              <m:t>p</m:t>
            </m:r>
          </m:sub>
        </m:sSub>
      </m:oMath>
      <w:r w:rsidR="00F20AFF" w:rsidRPr="00871EF8">
        <w:rPr>
          <w:rFonts w:eastAsia="Calibri"/>
        </w:rPr>
        <w:t xml:space="preserve">  </w:t>
      </w:r>
      <w:r w:rsidR="00F20AFF" w:rsidRPr="00871EF8">
        <w:t xml:space="preserve">and buffer tank </w:t>
      </w:r>
      <m:oMath>
        <m:sSub>
          <m:sSubPr>
            <m:ctrlPr>
              <w:rPr>
                <w:rFonts w:ascii="Cambria Math" w:hAnsi="Cambria Math"/>
              </w:rPr>
            </m:ctrlPr>
          </m:sSubPr>
          <m:e>
            <m:r>
              <w:rPr>
                <w:rFonts w:ascii="Cambria Math" w:hAnsi="Cambria Math"/>
              </w:rPr>
              <m:t>I</m:t>
            </m:r>
          </m:e>
          <m:sub>
            <m:r>
              <w:rPr>
                <w:rFonts w:ascii="Cambria Math" w:hAnsi="Cambria Math"/>
              </w:rPr>
              <m:t>buf</m:t>
            </m:r>
          </m:sub>
        </m:sSub>
      </m:oMath>
      <w:r w:rsidR="00F20AFF" w:rsidRPr="00871EF8">
        <w:rPr>
          <w:rFonts w:eastAsia="Calibri"/>
        </w:rPr>
        <w:t xml:space="preserve"> </w:t>
      </w:r>
      <w:r w:rsidR="00B20458" w:rsidRPr="00871EF8">
        <w:t xml:space="preserve">and thus influences the </w:t>
      </w:r>
      <m:oMath>
        <m:sSub>
          <m:sSubPr>
            <m:ctrlPr>
              <w:rPr>
                <w:rFonts w:ascii="Cambria Math" w:hAnsi="Cambria Math"/>
              </w:rPr>
            </m:ctrlPr>
          </m:sSubPr>
          <m:e>
            <m:r>
              <w:rPr>
                <w:rFonts w:ascii="Cambria Math" w:hAnsi="Cambria Math"/>
              </w:rPr>
              <m:t>C</m:t>
            </m:r>
          </m:e>
          <m:sub>
            <m:r>
              <w:rPr>
                <w:rFonts w:ascii="Cambria Math" w:hAnsi="Cambria Math"/>
              </w:rPr>
              <m:t>capex</m:t>
            </m:r>
          </m:sub>
        </m:sSub>
      </m:oMath>
      <w:r w:rsidR="00B20458" w:rsidRPr="00871EF8">
        <w:t xml:space="preserve"> function</w:t>
      </w:r>
      <w:r w:rsidR="00F20AFF" w:rsidRPr="00871EF8">
        <w:t xml:space="preserve">. </w:t>
      </w:r>
    </w:p>
    <w:p w14:paraId="17998315" w14:textId="7AE628B0" w:rsidR="00CE0905" w:rsidRPr="00871EF8" w:rsidRDefault="00CE0905" w:rsidP="00871EF8">
      <w:pPr>
        <w:pStyle w:val="CETBodytext"/>
      </w:pPr>
      <w:r w:rsidRPr="00871EF8">
        <w:t xml:space="preserve">The sum of </w:t>
      </w:r>
      <m:oMath>
        <m:sSub>
          <m:sSubPr>
            <m:ctrlPr>
              <w:rPr>
                <w:rFonts w:ascii="Cambria Math" w:hAnsi="Cambria Math"/>
              </w:rPr>
            </m:ctrlPr>
          </m:sSubPr>
          <m:e>
            <m:r>
              <w:rPr>
                <w:rFonts w:ascii="Cambria Math" w:hAnsi="Cambria Math"/>
              </w:rPr>
              <m:t>C</m:t>
            </m:r>
          </m:e>
          <m:sub>
            <m:r>
              <w:rPr>
                <w:rFonts w:ascii="Cambria Math" w:hAnsi="Cambria Math"/>
              </w:rPr>
              <m:t>capex</m:t>
            </m:r>
          </m:sub>
        </m:sSub>
      </m:oMath>
      <w:r w:rsidR="00131B53" w:rsidRPr="00871EF8">
        <w:t xml:space="preserve"> </w:t>
      </w:r>
      <w:r w:rsidRPr="00871EF8">
        <w:t xml:space="preserve">and </w:t>
      </w: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00131B53" w:rsidRPr="00871EF8">
        <w:t xml:space="preserve"> </w:t>
      </w:r>
      <w:r w:rsidRPr="00871EF8">
        <w:t>describes the total expenditure</w:t>
      </w:r>
      <w:r w:rsidR="0071465A" w:rsidRPr="00871EF8">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totex</m:t>
            </m:r>
          </m:sub>
        </m:sSub>
        <m:r>
          <m:rPr>
            <m:sty m:val="p"/>
          </m:rPr>
          <w:rPr>
            <w:rFonts w:ascii="Cambria Math" w:hAnsi="Cambria Math"/>
          </w:rPr>
          <m:t>)</m:t>
        </m:r>
      </m:oMath>
      <w:r w:rsidRPr="00871EF8">
        <w:t>. The DSM implementation is economically infeasibl</w:t>
      </w:r>
      <w:r w:rsidR="00F35392" w:rsidRPr="00871EF8">
        <w:t>e</w:t>
      </w:r>
      <w:r w:rsidRPr="00871EF8">
        <w:t xml:space="preserve"> if the </w:t>
      </w:r>
      <w:r w:rsidR="0071465A" w:rsidRPr="00871EF8">
        <w:t xml:space="preserve">decrease </w:t>
      </w:r>
      <w:r w:rsidRPr="00871EF8">
        <w:t xml:space="preserve">in </w:t>
      </w: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Pr="00871EF8">
        <w:t xml:space="preserve"> does not exceed the </w:t>
      </w:r>
      <w:r w:rsidR="0071465A" w:rsidRPr="00871EF8">
        <w:t>increase</w:t>
      </w:r>
      <w:r w:rsidR="0053734A" w:rsidRPr="00871EF8">
        <w:t xml:space="preserve"> in </w:t>
      </w:r>
      <m:oMath>
        <m:sSub>
          <m:sSubPr>
            <m:ctrlPr>
              <w:rPr>
                <w:rFonts w:ascii="Cambria Math" w:hAnsi="Cambria Math"/>
              </w:rPr>
            </m:ctrlPr>
          </m:sSubPr>
          <m:e>
            <m:r>
              <w:rPr>
                <w:rFonts w:ascii="Cambria Math" w:hAnsi="Cambria Math"/>
              </w:rPr>
              <m:t>C</m:t>
            </m:r>
          </m:e>
          <m:sub>
            <m:r>
              <w:rPr>
                <w:rFonts w:ascii="Cambria Math" w:hAnsi="Cambria Math"/>
              </w:rPr>
              <m:t>capex</m:t>
            </m:r>
          </m:sub>
        </m:sSub>
      </m:oMath>
      <w:r w:rsidR="00131B53" w:rsidRPr="00871EF8">
        <w:t xml:space="preserve"> </w:t>
      </w:r>
      <w:r w:rsidRPr="00871EF8">
        <w:t xml:space="preserve"> with </w:t>
      </w:r>
      <w:r w:rsidR="0071465A" w:rsidRPr="00871EF8">
        <w:t xml:space="preserve">increasing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If this function, however, forms a minimum in a </w:t>
      </w:r>
      <w:r w:rsidR="00104C5E" w:rsidRPr="00871EF8">
        <w:t>specific</w:t>
      </w:r>
      <w:r w:rsidRPr="00871EF8">
        <w:t xml:space="preserve"> range of the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then an</w:t>
      </w:r>
      <w:r w:rsidR="0071465A" w:rsidRPr="00871EF8">
        <w:t xml:space="preserve"> optimal</w:t>
      </w:r>
      <w:r w:rsidRPr="00871EF8">
        <w:t xml:space="preserve"> </w:t>
      </w:r>
      <m:oMath>
        <m:sSub>
          <m:sSubPr>
            <m:ctrlPr>
              <w:rPr>
                <w:rFonts w:ascii="Cambria Math" w:hAnsi="Cambria Math"/>
              </w:rPr>
            </m:ctrlPr>
          </m:sSubPr>
          <m:e>
            <m:r>
              <w:rPr>
                <w:rFonts w:ascii="Cambria Math" w:hAnsi="Cambria Math"/>
              </w:rPr>
              <m:t>F</m:t>
            </m:r>
          </m:e>
          <m:sub>
            <m:r>
              <w:rPr>
                <w:rFonts w:ascii="Cambria Math" w:hAnsi="Cambria Math"/>
              </w:rPr>
              <m:t>os</m:t>
            </m:r>
          </m:sub>
        </m:sSub>
        <m:r>
          <m:rPr>
            <m:sty m:val="p"/>
          </m:rPr>
          <w:rPr>
            <w:rFonts w:ascii="Cambria Math" w:hAnsi="Cambria Math"/>
          </w:rPr>
          <m:t xml:space="preserve"> </m:t>
        </m:r>
      </m:oMath>
      <w:r w:rsidRPr="00871EF8">
        <w:t>factor can be found at which a process will benefit most from the use of DSM.</w:t>
      </w:r>
    </w:p>
    <w:p w14:paraId="4484B70D" w14:textId="26C6EBDC" w:rsidR="00DA183C" w:rsidRDefault="00DA183C" w:rsidP="00885D9C">
      <w:pPr>
        <w:pStyle w:val="CETheadingx"/>
      </w:pPr>
      <w:r w:rsidRPr="00D52ECD">
        <w:lastRenderedPageBreak/>
        <w:t xml:space="preserve">Development of </w:t>
      </w:r>
      <w:r w:rsidR="0070417C">
        <w:t>steady-state</w:t>
      </w:r>
      <w:r>
        <w:t xml:space="preserve"> </w:t>
      </w:r>
      <w:r w:rsidRPr="00D52ECD">
        <w:t>optimization strategy in aspen custom modeler</w:t>
      </w:r>
    </w:p>
    <w:p w14:paraId="5504E27A" w14:textId="09EE2042" w:rsidR="001C744A" w:rsidRPr="0027215A" w:rsidRDefault="001C744A" w:rsidP="0027215A">
      <w:pPr>
        <w:pStyle w:val="CETBodytext"/>
      </w:pPr>
      <w:r w:rsidRPr="0027215A">
        <w:t>To make the decanter more flexible, the process must be oversize</w:t>
      </w:r>
      <w:r w:rsidR="0071465A">
        <w:t>d</w:t>
      </w:r>
      <w:r w:rsidRPr="0027215A">
        <w:t xml:space="preserve">. At the same time, the incoming product stream </w:t>
      </w:r>
      <w:r w:rsidR="00F249C0">
        <w:t>is</w:t>
      </w:r>
      <w:r w:rsidRPr="0027215A">
        <w:t xml:space="preserve"> stored so that the </w:t>
      </w:r>
      <w:r w:rsidRPr="00405084">
        <w:t>upstream</w:t>
      </w:r>
      <w:r w:rsidRPr="0027215A">
        <w:t xml:space="preserve"> separation process can run continuously. The same applies to the outflowing liquid phase, which is pumped to </w:t>
      </w:r>
      <w:r w:rsidR="0071465A">
        <w:t>a subsequent</w:t>
      </w:r>
      <w:r w:rsidR="0071465A" w:rsidRPr="0027215A">
        <w:t xml:space="preserve"> </w:t>
      </w:r>
      <w:r w:rsidRPr="0027215A">
        <w:t xml:space="preserve">separation stage in the cascade. The emerging solid phase is sold as a product - solid fertilizer. It is </w:t>
      </w:r>
      <w:r w:rsidR="0071465A">
        <w:t>assumed</w:t>
      </w:r>
      <w:r w:rsidR="0071465A" w:rsidRPr="0027215A">
        <w:t xml:space="preserve"> </w:t>
      </w:r>
      <w:r w:rsidRPr="0027215A">
        <w:t xml:space="preserve">that there </w:t>
      </w:r>
      <w:r w:rsidR="0071465A" w:rsidRPr="0027215A">
        <w:t xml:space="preserve">already </w:t>
      </w:r>
      <w:r w:rsidR="0071465A">
        <w:t>is</w:t>
      </w:r>
      <w:r w:rsidR="0071465A" w:rsidRPr="0027215A">
        <w:t xml:space="preserve"> </w:t>
      </w:r>
      <w:r w:rsidRPr="0027215A">
        <w:t xml:space="preserve">a large storage area for the end product. </w:t>
      </w:r>
    </w:p>
    <w:p w14:paraId="37714946" w14:textId="2449896B" w:rsidR="001C744A" w:rsidRDefault="001C744A" w:rsidP="0027215A">
      <w:pPr>
        <w:pStyle w:val="CETBodytext"/>
      </w:pPr>
      <w:r w:rsidRPr="0027215A">
        <w:t xml:space="preserve">The optimal size of the "pre" and "post" buffer tanks and the </w:t>
      </w:r>
      <m:oMath>
        <m:sSub>
          <m:sSubPr>
            <m:ctrlPr>
              <w:rPr>
                <w:rFonts w:ascii="Cambria Math" w:hAnsi="Cambria Math"/>
              </w:rPr>
            </m:ctrlPr>
          </m:sSubPr>
          <m:e>
            <m:r>
              <w:rPr>
                <w:rFonts w:ascii="Cambria Math" w:hAnsi="Cambria Math"/>
              </w:rPr>
              <m:t>F</m:t>
            </m:r>
          </m:e>
          <m:sub>
            <m:r>
              <w:rPr>
                <w:rFonts w:ascii="Cambria Math" w:hAnsi="Cambria Math"/>
              </w:rPr>
              <m:t>os</m:t>
            </m:r>
          </m:sub>
        </m:sSub>
        <m:r>
          <w:rPr>
            <w:rFonts w:ascii="Cambria Math" w:hAnsi="Cambria Math"/>
          </w:rPr>
          <m:t xml:space="preserve"> </m:t>
        </m:r>
      </m:oMath>
      <w:r w:rsidRPr="0027215A">
        <w:t xml:space="preserve">capacity of the decanter centrifuge </w:t>
      </w:r>
      <w:r w:rsidR="00F249C0">
        <w:t>were</w:t>
      </w:r>
      <w:r w:rsidRPr="0027215A">
        <w:t xml:space="preserve"> calculated in the ACM model according to the previously described </w:t>
      </w:r>
      <w:r w:rsidR="00EF0706">
        <w:t>decision support tool</w:t>
      </w:r>
      <w:r w:rsidRPr="0027215A">
        <w:t xml:space="preserve">. </w:t>
      </w:r>
      <w:r w:rsidR="009D0BE1">
        <w:t>The p</w:t>
      </w:r>
      <w:r w:rsidRPr="0027215A">
        <w:t>arameters needed for the calculation of the optimal oversizing factor are listed in</w:t>
      </w:r>
      <w:r w:rsidR="003B569C">
        <w:t xml:space="preserve"> </w:t>
      </w:r>
      <w:r w:rsidR="003B569C">
        <w:fldChar w:fldCharType="begin"/>
      </w:r>
      <w:r w:rsidR="003B569C">
        <w:instrText xml:space="preserve"> REF _Ref127793416 \h </w:instrText>
      </w:r>
      <w:r w:rsidR="003B569C">
        <w:fldChar w:fldCharType="separate"/>
      </w:r>
      <w:r w:rsidR="0070417C">
        <w:t xml:space="preserve">Table </w:t>
      </w:r>
      <w:r w:rsidR="0070417C">
        <w:rPr>
          <w:noProof/>
        </w:rPr>
        <w:t>1</w:t>
      </w:r>
      <w:r w:rsidR="003B569C">
        <w:fldChar w:fldCharType="end"/>
      </w:r>
      <w:r w:rsidRPr="0027215A">
        <w:t xml:space="preserve">, based on the contributions by Etzold et al. </w:t>
      </w:r>
      <w:r w:rsidRPr="0027215A">
        <w:fldChar w:fldCharType="begin"/>
      </w:r>
      <w:r w:rsidRPr="0027215A">
        <w:instrText>ADDIN CITAVI.PLACEHOLDER 5c219ee8-1713-4eeb-86f2-d7b952dea85c PFBsYWNlaG9sZGVyPg0KICA8QWRkSW5WZXJzaW9uPjUuNy4wLjA8L0FkZEluVmVyc2lvbj4NCiAgPElkPjVjMjE5ZWU4LTE3MTMtNGVlYi04NmYyLWQ3Yjk1MmRlYTg1YzwvSWQ+DQogIDxFbnRyaWVzPg0KICAgIDxFbnRyeT4NCiAgICAgIDxJZD43MWZhNGFhZC0xODQ1LTQ3ZjktYjQyOC05NjEyODU0ODVlMjk8L0lkPg0KICAgICAgPFJlZmVyZW5jZUlkPjgxYjI0ZmVhLWVlZTEtNDk4OS1iMjNmLTdlMzYwY2VhMTRiZ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IzKTwvVGV4dD4NCiAgICA8L1RleHRVbml0Pg0KICA8L1RleHRVbml0cz4NCjwvUGxhY2Vob2xkZXI+</w:instrText>
      </w:r>
      <w:r w:rsidRPr="0027215A">
        <w:fldChar w:fldCharType="separate"/>
      </w:r>
      <w:bookmarkStart w:id="15" w:name="_CTVP0015c219ee817134eeb86f2d7b952dea85c"/>
      <w:r w:rsidRPr="0027215A">
        <w:t>(2023)</w:t>
      </w:r>
      <w:bookmarkEnd w:id="15"/>
      <w:r w:rsidRPr="0027215A">
        <w:fldChar w:fldCharType="end"/>
      </w:r>
      <w:r w:rsidRPr="0027215A">
        <w:t xml:space="preserve"> and Röder et al. </w:t>
      </w:r>
      <w:r w:rsidRPr="0027215A">
        <w:fldChar w:fldCharType="begin"/>
      </w:r>
      <w:r w:rsidRPr="0027215A">
        <w:instrText>ADDIN CITAVI.PLACEHOLDER bc0e1d1b-9fef-4391-b9fe-942348c30317 PFBsYWNlaG9sZGVyPg0KICA8QWRkSW5WZXJzaW9uPjUuNy4wLjA8L0FkZEluVmVyc2lvbj4NCiAgPElkPmJjMGUxZDFiLTlmZWYtNDM5MS1iOWZlLTk0MjM0OGMzMDMxNzwvSWQ+DQogIDxFbnRyaWVzPg0KICAgIDxFbnRyeT4NCiAgICAgIDxJZD5mM2QyZTIwNS1lYTU2LTQyM2EtYjRlOS1jMmYwNjE2ODEzNWE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rsidRPr="0027215A">
        <w:fldChar w:fldCharType="separate"/>
      </w:r>
      <w:bookmarkStart w:id="16" w:name="_CTVP001bc0e1d1b9fef4391b9fe942348c30317"/>
      <w:r w:rsidRPr="0027215A">
        <w:t>(2023)</w:t>
      </w:r>
      <w:bookmarkEnd w:id="16"/>
      <w:r w:rsidRPr="0027215A">
        <w:fldChar w:fldCharType="end"/>
      </w:r>
      <w:r w:rsidRPr="0027215A">
        <w:t>:</w:t>
      </w:r>
    </w:p>
    <w:p w14:paraId="08C9FB37" w14:textId="0E0B3630" w:rsidR="003B569C" w:rsidRDefault="003B569C" w:rsidP="003B569C">
      <w:pPr>
        <w:pStyle w:val="CETTabletitle"/>
      </w:pPr>
      <w:bookmarkStart w:id="17" w:name="_Ref127793416"/>
      <w:bookmarkStart w:id="18" w:name="_Ref127793413"/>
      <w:r>
        <w:t xml:space="preserve">Table </w:t>
      </w:r>
      <w:r>
        <w:fldChar w:fldCharType="begin"/>
      </w:r>
      <w:r>
        <w:instrText xml:space="preserve"> SEQ Table \* ARABIC </w:instrText>
      </w:r>
      <w:r>
        <w:fldChar w:fldCharType="separate"/>
      </w:r>
      <w:r w:rsidR="0070417C">
        <w:rPr>
          <w:noProof/>
        </w:rPr>
        <w:t>1</w:t>
      </w:r>
      <w:r>
        <w:fldChar w:fldCharType="end"/>
      </w:r>
      <w:bookmarkEnd w:id="17"/>
      <w:r>
        <w:t xml:space="preserve">: </w:t>
      </w:r>
      <w:r w:rsidRPr="00146DAA">
        <w:t>Parameters needed for the calculation of the optimal oversizing factor</w:t>
      </w:r>
      <w:r>
        <w:t>.</w:t>
      </w:r>
      <w:bookmarkEnd w:id="18"/>
    </w:p>
    <w:tbl>
      <w:tblPr>
        <w:tblStyle w:val="Gitternetztabelle1hel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4299"/>
        <w:gridCol w:w="1484"/>
        <w:gridCol w:w="1399"/>
      </w:tblGrid>
      <w:tr w:rsidR="001C744A" w:rsidRPr="00645D1C" w14:paraId="24247F97" w14:textId="77777777" w:rsidTr="003B56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5" w:type="dxa"/>
            <w:tcBorders>
              <w:top w:val="single" w:sz="12" w:space="0" w:color="008000"/>
              <w:bottom w:val="single" w:sz="6" w:space="0" w:color="008000"/>
            </w:tcBorders>
            <w:noWrap/>
            <w:hideMark/>
          </w:tcPr>
          <w:p w14:paraId="1014CBF0" w14:textId="77777777" w:rsidR="001C744A" w:rsidRPr="00645D1C" w:rsidRDefault="001C744A" w:rsidP="00645D1C">
            <w:pPr>
              <w:pStyle w:val="CETBodytext"/>
            </w:pPr>
            <w:r w:rsidRPr="00645D1C">
              <w:t>Parameter</w:t>
            </w:r>
          </w:p>
        </w:tc>
        <w:tc>
          <w:tcPr>
            <w:tcW w:w="4299" w:type="dxa"/>
            <w:tcBorders>
              <w:top w:val="single" w:sz="12" w:space="0" w:color="008000"/>
              <w:bottom w:val="single" w:sz="6" w:space="0" w:color="008000"/>
            </w:tcBorders>
          </w:tcPr>
          <w:p w14:paraId="08E070EF" w14:textId="77777777" w:rsidR="001C744A" w:rsidRPr="00645D1C" w:rsidRDefault="001C744A" w:rsidP="00645D1C">
            <w:pPr>
              <w:pStyle w:val="CETBodytext"/>
              <w:cnfStyle w:val="100000000000" w:firstRow="1" w:lastRow="0" w:firstColumn="0" w:lastColumn="0" w:oddVBand="0" w:evenVBand="0" w:oddHBand="0" w:evenHBand="0" w:firstRowFirstColumn="0" w:firstRowLastColumn="0" w:lastRowFirstColumn="0" w:lastRowLastColumn="0"/>
            </w:pPr>
          </w:p>
        </w:tc>
        <w:tc>
          <w:tcPr>
            <w:tcW w:w="1484" w:type="dxa"/>
            <w:tcBorders>
              <w:top w:val="single" w:sz="12" w:space="0" w:color="008000"/>
              <w:bottom w:val="single" w:sz="6" w:space="0" w:color="008000"/>
            </w:tcBorders>
            <w:noWrap/>
            <w:hideMark/>
          </w:tcPr>
          <w:p w14:paraId="255943E3" w14:textId="77777777" w:rsidR="001C744A" w:rsidRPr="00645D1C" w:rsidRDefault="001C744A" w:rsidP="00645D1C">
            <w:pPr>
              <w:pStyle w:val="CETBodytext"/>
              <w:cnfStyle w:val="100000000000" w:firstRow="1" w:lastRow="0" w:firstColumn="0" w:lastColumn="0" w:oddVBand="0" w:evenVBand="0" w:oddHBand="0" w:evenHBand="0" w:firstRowFirstColumn="0" w:firstRowLastColumn="0" w:lastRowFirstColumn="0" w:lastRowLastColumn="0"/>
            </w:pPr>
            <w:r w:rsidRPr="00645D1C">
              <w:t>Unit</w:t>
            </w:r>
          </w:p>
        </w:tc>
        <w:tc>
          <w:tcPr>
            <w:tcW w:w="1399" w:type="dxa"/>
            <w:tcBorders>
              <w:top w:val="single" w:sz="12" w:space="0" w:color="008000"/>
              <w:bottom w:val="single" w:sz="6" w:space="0" w:color="008000"/>
            </w:tcBorders>
            <w:noWrap/>
            <w:hideMark/>
          </w:tcPr>
          <w:p w14:paraId="6C8E24BE" w14:textId="77777777" w:rsidR="001C744A" w:rsidRPr="00645D1C" w:rsidRDefault="001C744A" w:rsidP="00645D1C">
            <w:pPr>
              <w:pStyle w:val="CETBodytext"/>
              <w:cnfStyle w:val="100000000000" w:firstRow="1" w:lastRow="0" w:firstColumn="0" w:lastColumn="0" w:oddVBand="0" w:evenVBand="0" w:oddHBand="0" w:evenHBand="0" w:firstRowFirstColumn="0" w:firstRowLastColumn="0" w:lastRowFirstColumn="0" w:lastRowLastColumn="0"/>
            </w:pPr>
            <w:r w:rsidRPr="00645D1C">
              <w:t>Value</w:t>
            </w:r>
          </w:p>
        </w:tc>
      </w:tr>
      <w:tr w:rsidR="001C744A" w:rsidRPr="00645D1C" w14:paraId="70429218" w14:textId="77777777" w:rsidTr="00645D1C">
        <w:trPr>
          <w:trHeight w:val="343"/>
        </w:trPr>
        <w:tc>
          <w:tcPr>
            <w:cnfStyle w:val="001000000000" w:firstRow="0" w:lastRow="0" w:firstColumn="1" w:lastColumn="0" w:oddVBand="0" w:evenVBand="0" w:oddHBand="0" w:evenHBand="0" w:firstRowFirstColumn="0" w:firstRowLastColumn="0" w:lastRowFirstColumn="0" w:lastRowLastColumn="0"/>
            <w:tcW w:w="1605" w:type="dxa"/>
            <w:tcBorders>
              <w:top w:val="single" w:sz="6" w:space="0" w:color="008000"/>
            </w:tcBorders>
            <w:noWrap/>
            <w:vAlign w:val="center"/>
          </w:tcPr>
          <w:p w14:paraId="273F935B" w14:textId="74EC17DF" w:rsidR="001C744A" w:rsidRPr="00156221" w:rsidRDefault="00C90354" w:rsidP="00156221">
            <w:pPr>
              <w:pStyle w:val="CETBodytext"/>
            </w:pPr>
            <m:oMath>
              <m:sSub>
                <m:sSubPr>
                  <m:ctrlPr>
                    <w:rPr>
                      <w:rFonts w:ascii="Cambria Math" w:hAnsi="Cambria Math"/>
                    </w:rPr>
                  </m:ctrlPr>
                </m:sSubPr>
                <m:e>
                  <m:r>
                    <m:rPr>
                      <m:sty m:val="bi"/>
                    </m:rPr>
                    <w:rPr>
                      <w:rFonts w:ascii="Cambria Math" w:hAnsi="Cambria Math"/>
                    </w:rPr>
                    <m:t>a</m:t>
                  </m:r>
                </m:e>
                <m:sub>
                  <m:r>
                    <m:rPr>
                      <m:sty m:val="bi"/>
                    </m:rPr>
                    <w:rPr>
                      <w:rFonts w:ascii="Cambria Math" w:hAnsi="Cambria Math"/>
                    </w:rPr>
                    <m:t>year</m:t>
                  </m:r>
                </m:sub>
              </m:sSub>
            </m:oMath>
            <w:r w:rsidR="001C744A" w:rsidRPr="00156221">
              <w:t xml:space="preserve"> </w:t>
            </w:r>
          </w:p>
        </w:tc>
        <w:tc>
          <w:tcPr>
            <w:tcW w:w="4299" w:type="dxa"/>
            <w:tcBorders>
              <w:top w:val="single" w:sz="6" w:space="0" w:color="008000"/>
            </w:tcBorders>
            <w:vAlign w:val="center"/>
          </w:tcPr>
          <w:p w14:paraId="4D04D92F"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 xml:space="preserve">Maximum average price of specific year </w:t>
            </w:r>
          </w:p>
        </w:tc>
        <w:tc>
          <w:tcPr>
            <w:tcW w:w="1484" w:type="dxa"/>
            <w:tcBorders>
              <w:top w:val="single" w:sz="6" w:space="0" w:color="008000"/>
            </w:tcBorders>
            <w:noWrap/>
            <w:vAlign w:val="center"/>
          </w:tcPr>
          <w:p w14:paraId="4E0CB2B8"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[€/kWh]</w:t>
            </w:r>
          </w:p>
        </w:tc>
        <w:tc>
          <w:tcPr>
            <w:tcW w:w="1399" w:type="dxa"/>
            <w:tcBorders>
              <w:top w:val="single" w:sz="6" w:space="0" w:color="008000"/>
            </w:tcBorders>
            <w:noWrap/>
            <w:vAlign w:val="center"/>
          </w:tcPr>
          <w:p w14:paraId="58312418"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0.2409</w:t>
            </w:r>
          </w:p>
        </w:tc>
      </w:tr>
      <w:tr w:rsidR="001C744A" w:rsidRPr="00645D1C" w14:paraId="7779CAFB" w14:textId="77777777" w:rsidTr="00645D1C">
        <w:trPr>
          <w:trHeight w:val="343"/>
        </w:trPr>
        <w:tc>
          <w:tcPr>
            <w:cnfStyle w:val="001000000000" w:firstRow="0" w:lastRow="0" w:firstColumn="1" w:lastColumn="0" w:oddVBand="0" w:evenVBand="0" w:oddHBand="0" w:evenHBand="0" w:firstRowFirstColumn="0" w:firstRowLastColumn="0" w:lastRowFirstColumn="0" w:lastRowLastColumn="0"/>
            <w:tcW w:w="1605" w:type="dxa"/>
            <w:noWrap/>
            <w:vAlign w:val="center"/>
          </w:tcPr>
          <w:p w14:paraId="44EB99B4" w14:textId="2BCA82FB" w:rsidR="001C744A" w:rsidRPr="00156221" w:rsidRDefault="00C90354" w:rsidP="00156221">
            <w:pPr>
              <w:pStyle w:val="CETBodytext"/>
            </w:pPr>
            <m:oMath>
              <m:sSub>
                <m:sSubPr>
                  <m:ctrlPr>
                    <w:rPr>
                      <w:rFonts w:ascii="Cambria Math" w:hAnsi="Cambria Math"/>
                    </w:rPr>
                  </m:ctrlPr>
                </m:sSubPr>
                <m:e>
                  <m:r>
                    <m:rPr>
                      <m:sty m:val="bi"/>
                    </m:rPr>
                    <w:rPr>
                      <w:rFonts w:ascii="Cambria Math" w:hAnsi="Cambria Math"/>
                    </w:rPr>
                    <m:t>b</m:t>
                  </m:r>
                </m:e>
                <m:sub>
                  <m:r>
                    <m:rPr>
                      <m:sty m:val="bi"/>
                    </m:rPr>
                    <w:rPr>
                      <w:rFonts w:ascii="Cambria Math" w:hAnsi="Cambria Math"/>
                    </w:rPr>
                    <m:t>year</m:t>
                  </m:r>
                </m:sub>
              </m:sSub>
            </m:oMath>
            <w:r w:rsidR="001C744A" w:rsidRPr="00156221">
              <w:t xml:space="preserve"> </w:t>
            </w:r>
          </w:p>
        </w:tc>
        <w:tc>
          <w:tcPr>
            <w:tcW w:w="4299" w:type="dxa"/>
            <w:vAlign w:val="center"/>
          </w:tcPr>
          <w:p w14:paraId="1D747951"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 xml:space="preserve">Electricity price decrease of specific year </w:t>
            </w:r>
          </w:p>
        </w:tc>
        <w:tc>
          <w:tcPr>
            <w:tcW w:w="1484" w:type="dxa"/>
            <w:noWrap/>
            <w:vAlign w:val="center"/>
          </w:tcPr>
          <w:p w14:paraId="185ED39F"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[€/(kW*h2)]</w:t>
            </w:r>
          </w:p>
        </w:tc>
        <w:tc>
          <w:tcPr>
            <w:tcW w:w="1399" w:type="dxa"/>
            <w:noWrap/>
            <w:vAlign w:val="center"/>
          </w:tcPr>
          <w:p w14:paraId="08E94146"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0.0038</w:t>
            </w:r>
          </w:p>
        </w:tc>
      </w:tr>
      <w:tr w:rsidR="00645D1C" w:rsidRPr="00645D1C" w14:paraId="43C3D361" w14:textId="77777777" w:rsidTr="00645D1C">
        <w:trPr>
          <w:trHeight w:val="343"/>
        </w:trPr>
        <w:tc>
          <w:tcPr>
            <w:cnfStyle w:val="001000000000" w:firstRow="0" w:lastRow="0" w:firstColumn="1" w:lastColumn="0" w:oddVBand="0" w:evenVBand="0" w:oddHBand="0" w:evenHBand="0" w:firstRowFirstColumn="0" w:firstRowLastColumn="0" w:lastRowFirstColumn="0" w:lastRowLastColumn="0"/>
            <w:tcW w:w="1605" w:type="dxa"/>
            <w:noWrap/>
            <w:vAlign w:val="center"/>
          </w:tcPr>
          <w:p w14:paraId="166CF400" w14:textId="42E852E9" w:rsidR="00645D1C" w:rsidRPr="00156221" w:rsidRDefault="00C90354" w:rsidP="00156221">
            <w:pPr>
              <w:pStyle w:val="CETBodytext"/>
            </w:pPr>
            <m:oMath>
              <m:sSub>
                <m:sSubPr>
                  <m:ctrlPr>
                    <w:rPr>
                      <w:rFonts w:ascii="Cambria Math" w:hAnsi="Cambria Math"/>
                    </w:rPr>
                  </m:ctrlPr>
                </m:sSubPr>
                <m:e>
                  <m:r>
                    <m:rPr>
                      <m:sty m:val="bi"/>
                    </m:rPr>
                    <w:rPr>
                      <w:rFonts w:ascii="Cambria Math" w:hAnsi="Cambria Math"/>
                    </w:rPr>
                    <m:t>SEC</m:t>
                  </m:r>
                </m:e>
                <m:sub>
                  <m:r>
                    <m:rPr>
                      <m:sty m:val="bi"/>
                    </m:rPr>
                    <w:rPr>
                      <w:rFonts w:ascii="Cambria Math" w:hAnsi="Cambria Math"/>
                    </w:rPr>
                    <m:t>p</m:t>
                  </m:r>
                </m:sub>
              </m:sSub>
            </m:oMath>
            <w:r w:rsidR="00645D1C" w:rsidRPr="00156221">
              <w:rPr>
                <w:rFonts w:eastAsiaTheme="minorEastAsia"/>
              </w:rPr>
              <w:t xml:space="preserve"> </w:t>
            </w:r>
          </w:p>
        </w:tc>
        <w:tc>
          <w:tcPr>
            <w:tcW w:w="4299" w:type="dxa"/>
            <w:vAlign w:val="center"/>
          </w:tcPr>
          <w:p w14:paraId="6CD95E5E" w14:textId="4BAEC273" w:rsidR="00645D1C" w:rsidRPr="00156221" w:rsidRDefault="00645D1C" w:rsidP="00156221">
            <w:pPr>
              <w:pStyle w:val="CETBodytext"/>
              <w:cnfStyle w:val="000000000000" w:firstRow="0" w:lastRow="0" w:firstColumn="0" w:lastColumn="0" w:oddVBand="0" w:evenVBand="0" w:oddHBand="0" w:evenHBand="0" w:firstRowFirstColumn="0" w:firstRowLastColumn="0" w:lastRowFirstColumn="0" w:lastRowLastColumn="0"/>
            </w:pPr>
            <w:r w:rsidRPr="00156221">
              <w:t>Specific electricity consumption of process</w:t>
            </w:r>
          </w:p>
        </w:tc>
        <w:tc>
          <w:tcPr>
            <w:tcW w:w="1484" w:type="dxa"/>
            <w:noWrap/>
            <w:vAlign w:val="center"/>
          </w:tcPr>
          <w:p w14:paraId="6A062918" w14:textId="77777777" w:rsidR="00645D1C" w:rsidRPr="00156221" w:rsidRDefault="00645D1C" w:rsidP="00156221">
            <w:pPr>
              <w:pStyle w:val="CETBodytext"/>
              <w:cnfStyle w:val="000000000000" w:firstRow="0" w:lastRow="0" w:firstColumn="0" w:lastColumn="0" w:oddVBand="0" w:evenVBand="0" w:oddHBand="0" w:evenHBand="0" w:firstRowFirstColumn="0" w:firstRowLastColumn="0" w:lastRowFirstColumn="0" w:lastRowLastColumn="0"/>
            </w:pPr>
            <w:r w:rsidRPr="00156221">
              <w:t>[kWh/t]</w:t>
            </w:r>
          </w:p>
        </w:tc>
        <w:tc>
          <w:tcPr>
            <w:tcW w:w="1399" w:type="dxa"/>
            <w:noWrap/>
            <w:vAlign w:val="center"/>
          </w:tcPr>
          <w:p w14:paraId="09635BC2" w14:textId="77777777" w:rsidR="00645D1C" w:rsidRPr="00156221" w:rsidRDefault="00645D1C" w:rsidP="00156221">
            <w:pPr>
              <w:pStyle w:val="CETBodytext"/>
              <w:cnfStyle w:val="000000000000" w:firstRow="0" w:lastRow="0" w:firstColumn="0" w:lastColumn="0" w:oddVBand="0" w:evenVBand="0" w:oddHBand="0" w:evenHBand="0" w:firstRowFirstColumn="0" w:firstRowLastColumn="0" w:lastRowFirstColumn="0" w:lastRowLastColumn="0"/>
            </w:pPr>
            <w:r w:rsidRPr="00156221">
              <w:t>5</w:t>
            </w:r>
          </w:p>
        </w:tc>
      </w:tr>
      <w:tr w:rsidR="001C744A" w:rsidRPr="00645D1C" w14:paraId="2B7FCDDD" w14:textId="77777777" w:rsidTr="00645D1C">
        <w:trPr>
          <w:trHeight w:val="343"/>
        </w:trPr>
        <w:tc>
          <w:tcPr>
            <w:cnfStyle w:val="001000000000" w:firstRow="0" w:lastRow="0" w:firstColumn="1" w:lastColumn="0" w:oddVBand="0" w:evenVBand="0" w:oddHBand="0" w:evenHBand="0" w:firstRowFirstColumn="0" w:firstRowLastColumn="0" w:lastRowFirstColumn="0" w:lastRowLastColumn="0"/>
            <w:tcW w:w="1605" w:type="dxa"/>
            <w:noWrap/>
            <w:vAlign w:val="center"/>
            <w:hideMark/>
          </w:tcPr>
          <w:p w14:paraId="4A910907" w14:textId="20DA4134" w:rsidR="001C744A" w:rsidRPr="00156221" w:rsidRDefault="00C90354" w:rsidP="00156221">
            <w:pPr>
              <w:pStyle w:val="CETBodytext"/>
            </w:pP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m</m:t>
                      </m:r>
                    </m:e>
                  </m:acc>
                </m:e>
                <m:sub>
                  <m:r>
                    <m:rPr>
                      <m:sty m:val="bi"/>
                    </m:rPr>
                    <w:rPr>
                      <w:rFonts w:ascii="Cambria Math" w:hAnsi="Cambria Math"/>
                    </w:rPr>
                    <m:t>P</m:t>
                  </m:r>
                </m:sub>
              </m:sSub>
            </m:oMath>
            <w:r w:rsidR="001C744A" w:rsidRPr="00156221">
              <w:rPr>
                <w:rFonts w:eastAsiaTheme="minorEastAsia"/>
              </w:rPr>
              <w:t xml:space="preserve"> </w:t>
            </w:r>
          </w:p>
        </w:tc>
        <w:tc>
          <w:tcPr>
            <w:tcW w:w="4299" w:type="dxa"/>
            <w:vAlign w:val="center"/>
          </w:tcPr>
          <w:p w14:paraId="391434C0"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Annual mass flow of process</w:t>
            </w:r>
          </w:p>
        </w:tc>
        <w:tc>
          <w:tcPr>
            <w:tcW w:w="1484" w:type="dxa"/>
            <w:noWrap/>
            <w:vAlign w:val="center"/>
            <w:hideMark/>
          </w:tcPr>
          <w:p w14:paraId="5738701B" w14:textId="1299033A"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w:t>
            </w:r>
            <w:proofErr w:type="spellStart"/>
            <w:r w:rsidR="009D0BE1">
              <w:t>kt</w:t>
            </w:r>
            <w:proofErr w:type="spellEnd"/>
            <w:r w:rsidR="009D0BE1">
              <w:t>/y</w:t>
            </w:r>
            <w:r w:rsidRPr="00156221">
              <w:t>]</w:t>
            </w:r>
          </w:p>
        </w:tc>
        <w:tc>
          <w:tcPr>
            <w:tcW w:w="1399" w:type="dxa"/>
            <w:noWrap/>
            <w:vAlign w:val="center"/>
            <w:hideMark/>
          </w:tcPr>
          <w:p w14:paraId="2B31AB27"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279</w:t>
            </w:r>
          </w:p>
        </w:tc>
      </w:tr>
      <w:tr w:rsidR="001C744A" w:rsidRPr="00645D1C" w14:paraId="30C2F1C9" w14:textId="77777777" w:rsidTr="00645D1C">
        <w:trPr>
          <w:trHeight w:val="343"/>
        </w:trPr>
        <w:tc>
          <w:tcPr>
            <w:cnfStyle w:val="001000000000" w:firstRow="0" w:lastRow="0" w:firstColumn="1" w:lastColumn="0" w:oddVBand="0" w:evenVBand="0" w:oddHBand="0" w:evenHBand="0" w:firstRowFirstColumn="0" w:firstRowLastColumn="0" w:lastRowFirstColumn="0" w:lastRowLastColumn="0"/>
            <w:tcW w:w="1605" w:type="dxa"/>
            <w:noWrap/>
            <w:vAlign w:val="center"/>
            <w:hideMark/>
          </w:tcPr>
          <w:p w14:paraId="610950D4" w14:textId="2B1771D5" w:rsidR="001C744A" w:rsidRPr="00156221" w:rsidRDefault="00C90354" w:rsidP="00156221">
            <w:pPr>
              <w:pStyle w:val="CETBodytext"/>
            </w:pPr>
            <m:oMath>
              <m:sSub>
                <m:sSubPr>
                  <m:ctrlPr>
                    <w:rPr>
                      <w:rFonts w:ascii="Cambria Math" w:hAnsi="Cambria Math"/>
                    </w:rPr>
                  </m:ctrlPr>
                </m:sSubPr>
                <m:e>
                  <m:r>
                    <m:rPr>
                      <m:sty m:val="bi"/>
                    </m:rPr>
                    <w:rPr>
                      <w:rFonts w:ascii="Cambria Math" w:hAnsi="Cambria Math"/>
                    </w:rPr>
                    <m:t>I</m:t>
                  </m:r>
                </m:e>
                <m:sub>
                  <m:r>
                    <m:rPr>
                      <m:sty m:val="bi"/>
                    </m:rPr>
                    <w:rPr>
                      <w:rFonts w:ascii="Cambria Math" w:hAnsi="Cambria Math"/>
                    </w:rPr>
                    <m:t>p,ref</m:t>
                  </m:r>
                </m:sub>
              </m:sSub>
              <m:r>
                <m:rPr>
                  <m:sty m:val="b"/>
                </m:rPr>
                <w:rPr>
                  <w:rFonts w:ascii="Cambria Math" w:hAnsi="Cambria Math"/>
                </w:rPr>
                <m:t> </m:t>
              </m:r>
            </m:oMath>
            <w:r w:rsidR="001C744A" w:rsidRPr="00156221">
              <w:rPr>
                <w:rFonts w:eastAsiaTheme="minorEastAsia"/>
              </w:rPr>
              <w:t xml:space="preserve"> </w:t>
            </w:r>
          </w:p>
        </w:tc>
        <w:tc>
          <w:tcPr>
            <w:tcW w:w="4299" w:type="dxa"/>
            <w:vAlign w:val="center"/>
          </w:tcPr>
          <w:p w14:paraId="3D6EC209"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Investment costs for reference process</w:t>
            </w:r>
          </w:p>
        </w:tc>
        <w:tc>
          <w:tcPr>
            <w:tcW w:w="1484" w:type="dxa"/>
            <w:noWrap/>
            <w:vAlign w:val="center"/>
            <w:hideMark/>
          </w:tcPr>
          <w:p w14:paraId="5D16B81F"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[k€]</w:t>
            </w:r>
          </w:p>
        </w:tc>
        <w:tc>
          <w:tcPr>
            <w:tcW w:w="1399" w:type="dxa"/>
            <w:noWrap/>
            <w:vAlign w:val="center"/>
            <w:hideMark/>
          </w:tcPr>
          <w:p w14:paraId="4BA269D5"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197</w:t>
            </w:r>
          </w:p>
        </w:tc>
      </w:tr>
      <w:tr w:rsidR="001C744A" w:rsidRPr="00645D1C" w14:paraId="20385067" w14:textId="77777777" w:rsidTr="00645D1C">
        <w:trPr>
          <w:trHeight w:val="300"/>
        </w:trPr>
        <w:tc>
          <w:tcPr>
            <w:cnfStyle w:val="001000000000" w:firstRow="0" w:lastRow="0" w:firstColumn="1" w:lastColumn="0" w:oddVBand="0" w:evenVBand="0" w:oddHBand="0" w:evenHBand="0" w:firstRowFirstColumn="0" w:firstRowLastColumn="0" w:lastRowFirstColumn="0" w:lastRowLastColumn="0"/>
            <w:tcW w:w="1605" w:type="dxa"/>
            <w:noWrap/>
            <w:vAlign w:val="center"/>
            <w:hideMark/>
          </w:tcPr>
          <w:p w14:paraId="41C28AF4" w14:textId="5A5AE464" w:rsidR="001C744A" w:rsidRPr="00156221" w:rsidRDefault="00C90354" w:rsidP="00156221">
            <w:pPr>
              <w:pStyle w:val="CETBodytext"/>
            </w:pPr>
            <m:oMath>
              <m:sSub>
                <m:sSubPr>
                  <m:ctrlPr>
                    <w:rPr>
                      <w:rFonts w:ascii="Cambria Math" w:hAnsi="Cambria Math"/>
                    </w:rPr>
                  </m:ctrlPr>
                </m:sSubPr>
                <m:e>
                  <m:r>
                    <m:rPr>
                      <m:sty m:val="bi"/>
                    </m:rPr>
                    <w:rPr>
                      <w:rFonts w:ascii="Cambria Math" w:hAnsi="Cambria Math"/>
                    </w:rPr>
                    <m:t>I</m:t>
                  </m:r>
                </m:e>
                <m:sub>
                  <m:r>
                    <m:rPr>
                      <m:sty m:val="bi"/>
                    </m:rPr>
                    <w:rPr>
                      <w:rFonts w:ascii="Cambria Math" w:hAnsi="Cambria Math"/>
                    </w:rPr>
                    <m:t>buf,ref</m:t>
                  </m:r>
                </m:sub>
              </m:sSub>
            </m:oMath>
            <w:r w:rsidR="001C744A" w:rsidRPr="00156221">
              <w:rPr>
                <w:rFonts w:eastAsiaTheme="minorEastAsia"/>
              </w:rPr>
              <w:t xml:space="preserve"> </w:t>
            </w:r>
          </w:p>
        </w:tc>
        <w:tc>
          <w:tcPr>
            <w:tcW w:w="4299" w:type="dxa"/>
            <w:vAlign w:val="center"/>
          </w:tcPr>
          <w:p w14:paraId="5F5991CC"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Investment costs for reference buffer tank</w:t>
            </w:r>
          </w:p>
        </w:tc>
        <w:tc>
          <w:tcPr>
            <w:tcW w:w="1484" w:type="dxa"/>
            <w:noWrap/>
            <w:vAlign w:val="center"/>
            <w:hideMark/>
          </w:tcPr>
          <w:p w14:paraId="0A3B332D"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[k€]</w:t>
            </w:r>
          </w:p>
        </w:tc>
        <w:tc>
          <w:tcPr>
            <w:tcW w:w="1399" w:type="dxa"/>
            <w:noWrap/>
            <w:vAlign w:val="center"/>
            <w:hideMark/>
          </w:tcPr>
          <w:p w14:paraId="1C2706B0" w14:textId="0C2AC787" w:rsidR="001C744A" w:rsidRPr="00156221" w:rsidRDefault="0061644F" w:rsidP="00156221">
            <w:pPr>
              <w:pStyle w:val="CETBodytext"/>
              <w:cnfStyle w:val="000000000000" w:firstRow="0" w:lastRow="0" w:firstColumn="0" w:lastColumn="0" w:oddVBand="0" w:evenVBand="0" w:oddHBand="0" w:evenHBand="0" w:firstRowFirstColumn="0" w:firstRowLastColumn="0" w:lastRowFirstColumn="0" w:lastRowLastColumn="0"/>
            </w:pPr>
            <w:r w:rsidRPr="00156221">
              <w:t>171</w:t>
            </w:r>
            <w:r w:rsidR="00704862" w:rsidRPr="00156221">
              <w:t>a</w:t>
            </w:r>
          </w:p>
        </w:tc>
      </w:tr>
      <w:tr w:rsidR="00993223" w:rsidRPr="00645D1C" w14:paraId="64BF73A9" w14:textId="77777777" w:rsidTr="00645D1C">
        <w:trPr>
          <w:trHeight w:val="300"/>
        </w:trPr>
        <w:tc>
          <w:tcPr>
            <w:cnfStyle w:val="001000000000" w:firstRow="0" w:lastRow="0" w:firstColumn="1" w:lastColumn="0" w:oddVBand="0" w:evenVBand="0" w:oddHBand="0" w:evenHBand="0" w:firstRowFirstColumn="0" w:firstRowLastColumn="0" w:lastRowFirstColumn="0" w:lastRowLastColumn="0"/>
            <w:tcW w:w="1605" w:type="dxa"/>
            <w:noWrap/>
            <w:vAlign w:val="center"/>
          </w:tcPr>
          <w:p w14:paraId="02DC1039" w14:textId="3F964EEB" w:rsidR="00993223" w:rsidRPr="00156221" w:rsidRDefault="00C90354" w:rsidP="00156221">
            <w:pPr>
              <w:pStyle w:val="CETBodytext"/>
            </w:pPr>
            <m:oMath>
              <m:sSub>
                <m:sSubPr>
                  <m:ctrlPr>
                    <w:rPr>
                      <w:rFonts w:ascii="Cambria Math" w:hAnsi="Cambria Math"/>
                    </w:rPr>
                  </m:ctrlPr>
                </m:sSubPr>
                <m:e>
                  <m:r>
                    <m:rPr>
                      <m:sty m:val="bi"/>
                    </m:rPr>
                    <w:rPr>
                      <w:rFonts w:ascii="Cambria Math" w:hAnsi="Cambria Math"/>
                    </w:rPr>
                    <m:t>V</m:t>
                  </m:r>
                </m:e>
                <m:sub>
                  <m:r>
                    <m:rPr>
                      <m:sty m:val="bi"/>
                    </m:rPr>
                    <w:rPr>
                      <w:rFonts w:ascii="Cambria Math" w:hAnsi="Cambria Math"/>
                    </w:rPr>
                    <m:t>buf,ref</m:t>
                  </m:r>
                </m:sub>
              </m:sSub>
            </m:oMath>
            <w:r w:rsidR="00993223" w:rsidRPr="00156221">
              <w:t xml:space="preserve"> </w:t>
            </w:r>
          </w:p>
        </w:tc>
        <w:tc>
          <w:tcPr>
            <w:tcW w:w="4299" w:type="dxa"/>
            <w:vAlign w:val="center"/>
          </w:tcPr>
          <w:p w14:paraId="4F671A52" w14:textId="12566F27" w:rsidR="00993223" w:rsidRPr="00156221" w:rsidRDefault="00993223" w:rsidP="00156221">
            <w:pPr>
              <w:pStyle w:val="CETBodytext"/>
              <w:cnfStyle w:val="000000000000" w:firstRow="0" w:lastRow="0" w:firstColumn="0" w:lastColumn="0" w:oddVBand="0" w:evenVBand="0" w:oddHBand="0" w:evenHBand="0" w:firstRowFirstColumn="0" w:firstRowLastColumn="0" w:lastRowFirstColumn="0" w:lastRowLastColumn="0"/>
            </w:pPr>
            <w:r w:rsidRPr="00156221">
              <w:t>Volume of reference buffer tank</w:t>
            </w:r>
          </w:p>
        </w:tc>
        <w:tc>
          <w:tcPr>
            <w:tcW w:w="1484" w:type="dxa"/>
            <w:noWrap/>
            <w:vAlign w:val="center"/>
          </w:tcPr>
          <w:p w14:paraId="41699DCC" w14:textId="07B840D8" w:rsidR="00993223" w:rsidRPr="00156221" w:rsidRDefault="00993223" w:rsidP="00156221">
            <w:pPr>
              <w:pStyle w:val="CETBodytext"/>
              <w:cnfStyle w:val="000000000000" w:firstRow="0" w:lastRow="0" w:firstColumn="0" w:lastColumn="0" w:oddVBand="0" w:evenVBand="0" w:oddHBand="0" w:evenHBand="0" w:firstRowFirstColumn="0" w:firstRowLastColumn="0" w:lastRowFirstColumn="0" w:lastRowLastColumn="0"/>
            </w:pPr>
            <w:r w:rsidRPr="00156221">
              <w:t>[m³]</w:t>
            </w:r>
          </w:p>
        </w:tc>
        <w:tc>
          <w:tcPr>
            <w:tcW w:w="1399" w:type="dxa"/>
            <w:noWrap/>
            <w:vAlign w:val="center"/>
          </w:tcPr>
          <w:p w14:paraId="0BD77C12" w14:textId="6A58DB87" w:rsidR="00993223" w:rsidRPr="00156221" w:rsidRDefault="0061644F" w:rsidP="00156221">
            <w:pPr>
              <w:pStyle w:val="CETBodytext"/>
              <w:cnfStyle w:val="000000000000" w:firstRow="0" w:lastRow="0" w:firstColumn="0" w:lastColumn="0" w:oddVBand="0" w:evenVBand="0" w:oddHBand="0" w:evenHBand="0" w:firstRowFirstColumn="0" w:firstRowLastColumn="0" w:lastRowFirstColumn="0" w:lastRowLastColumn="0"/>
            </w:pPr>
            <w:r w:rsidRPr="00156221">
              <w:t>600</w:t>
            </w:r>
            <w:r w:rsidR="00704862" w:rsidRPr="00156221">
              <w:t>a</w:t>
            </w:r>
          </w:p>
        </w:tc>
      </w:tr>
      <w:tr w:rsidR="001C744A" w:rsidRPr="00645D1C" w14:paraId="716AA16C" w14:textId="77777777" w:rsidTr="00645D1C">
        <w:trPr>
          <w:trHeight w:val="300"/>
        </w:trPr>
        <w:tc>
          <w:tcPr>
            <w:cnfStyle w:val="001000000000" w:firstRow="0" w:lastRow="0" w:firstColumn="1" w:lastColumn="0" w:oddVBand="0" w:evenVBand="0" w:oddHBand="0" w:evenHBand="0" w:firstRowFirstColumn="0" w:firstRowLastColumn="0" w:lastRowFirstColumn="0" w:lastRowLastColumn="0"/>
            <w:tcW w:w="1605" w:type="dxa"/>
            <w:noWrap/>
            <w:vAlign w:val="center"/>
          </w:tcPr>
          <w:p w14:paraId="2B713751" w14:textId="2BF98C95" w:rsidR="001C744A" w:rsidRPr="00156221" w:rsidRDefault="00C90354" w:rsidP="00156221">
            <w:pPr>
              <w:pStyle w:val="CETBodytext"/>
              <w:rPr>
                <w:rFonts w:eastAsia="Calibri"/>
              </w:rPr>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p</m:t>
                  </m:r>
                </m:sub>
              </m:sSub>
            </m:oMath>
            <w:r w:rsidR="001C744A" w:rsidRPr="00156221">
              <w:rPr>
                <w:rFonts w:eastAsia="Calibri"/>
              </w:rPr>
              <w:t xml:space="preserve">,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buf</m:t>
                  </m:r>
                </m:sub>
              </m:sSub>
            </m:oMath>
          </w:p>
        </w:tc>
        <w:tc>
          <w:tcPr>
            <w:tcW w:w="4299" w:type="dxa"/>
            <w:vAlign w:val="center"/>
          </w:tcPr>
          <w:p w14:paraId="3163E53C" w14:textId="15753C65"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 xml:space="preserve">Expense </w:t>
            </w:r>
            <w:r w:rsidR="009119FC" w:rsidRPr="00156221">
              <w:t>ratio</w:t>
            </w:r>
            <w:r w:rsidRPr="00156221">
              <w:t xml:space="preserve"> of process and buffer tank</w:t>
            </w:r>
          </w:p>
        </w:tc>
        <w:tc>
          <w:tcPr>
            <w:tcW w:w="1484" w:type="dxa"/>
            <w:noWrap/>
            <w:vAlign w:val="center"/>
          </w:tcPr>
          <w:p w14:paraId="605DFB39"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[%/a]</w:t>
            </w:r>
          </w:p>
        </w:tc>
        <w:tc>
          <w:tcPr>
            <w:tcW w:w="1399" w:type="dxa"/>
            <w:noWrap/>
            <w:vAlign w:val="center"/>
          </w:tcPr>
          <w:p w14:paraId="107B9E0A"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11</w:t>
            </w:r>
          </w:p>
        </w:tc>
      </w:tr>
      <w:tr w:rsidR="001C744A" w:rsidRPr="00645D1C" w14:paraId="3A2796BF" w14:textId="77777777" w:rsidTr="00645D1C">
        <w:trPr>
          <w:trHeight w:val="300"/>
        </w:trPr>
        <w:tc>
          <w:tcPr>
            <w:cnfStyle w:val="001000000000" w:firstRow="0" w:lastRow="0" w:firstColumn="1" w:lastColumn="0" w:oddVBand="0" w:evenVBand="0" w:oddHBand="0" w:evenHBand="0" w:firstRowFirstColumn="0" w:firstRowLastColumn="0" w:lastRowFirstColumn="0" w:lastRowLastColumn="0"/>
            <w:tcW w:w="1605" w:type="dxa"/>
            <w:noWrap/>
            <w:vAlign w:val="center"/>
          </w:tcPr>
          <w:p w14:paraId="22BFAA7E" w14:textId="7DF25637" w:rsidR="001C744A" w:rsidRPr="00156221" w:rsidRDefault="00C90354" w:rsidP="00156221">
            <w:pPr>
              <w:pStyle w:val="CETBodytext"/>
              <w:rPr>
                <w:rFonts w:eastAsia="Calibri"/>
              </w:rPr>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P</m:t>
                  </m:r>
                </m:sub>
              </m:sSub>
            </m:oMath>
            <w:r w:rsidR="001C744A" w:rsidRPr="00156221">
              <w:rPr>
                <w:rFonts w:eastAsia="Calibri"/>
              </w:rPr>
              <w:t xml:space="preserve"> </w:t>
            </w:r>
          </w:p>
        </w:tc>
        <w:tc>
          <w:tcPr>
            <w:tcW w:w="4299" w:type="dxa"/>
            <w:vAlign w:val="center"/>
          </w:tcPr>
          <w:p w14:paraId="2DFC59CC"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Economies of scale factor of process</w:t>
            </w:r>
          </w:p>
        </w:tc>
        <w:tc>
          <w:tcPr>
            <w:tcW w:w="1484" w:type="dxa"/>
            <w:noWrap/>
            <w:vAlign w:val="center"/>
          </w:tcPr>
          <w:p w14:paraId="450DBF86"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w:t>
            </w:r>
          </w:p>
        </w:tc>
        <w:tc>
          <w:tcPr>
            <w:tcW w:w="1399" w:type="dxa"/>
            <w:noWrap/>
            <w:vAlign w:val="center"/>
          </w:tcPr>
          <w:p w14:paraId="3B795E68"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0.6</w:t>
            </w:r>
          </w:p>
        </w:tc>
      </w:tr>
      <w:tr w:rsidR="001C744A" w:rsidRPr="00645D1C" w14:paraId="14F508AD" w14:textId="77777777" w:rsidTr="00645D1C">
        <w:trPr>
          <w:trHeight w:val="300"/>
        </w:trPr>
        <w:tc>
          <w:tcPr>
            <w:cnfStyle w:val="001000000000" w:firstRow="0" w:lastRow="0" w:firstColumn="1" w:lastColumn="0" w:oddVBand="0" w:evenVBand="0" w:oddHBand="0" w:evenHBand="0" w:firstRowFirstColumn="0" w:firstRowLastColumn="0" w:lastRowFirstColumn="0" w:lastRowLastColumn="0"/>
            <w:tcW w:w="1605" w:type="dxa"/>
            <w:tcBorders>
              <w:bottom w:val="single" w:sz="12" w:space="0" w:color="008000"/>
            </w:tcBorders>
            <w:noWrap/>
            <w:vAlign w:val="center"/>
          </w:tcPr>
          <w:p w14:paraId="1BCEE47F" w14:textId="6B365D75" w:rsidR="001C744A" w:rsidRPr="00156221" w:rsidRDefault="00C90354" w:rsidP="00156221">
            <w:pPr>
              <w:pStyle w:val="CETBodytext"/>
              <w:rPr>
                <w:rFonts w:eastAsia="Calibri"/>
              </w:rPr>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buf</m:t>
                  </m:r>
                </m:sub>
              </m:sSub>
            </m:oMath>
            <w:r w:rsidR="001C744A" w:rsidRPr="00156221">
              <w:rPr>
                <w:rFonts w:eastAsia="Calibri"/>
              </w:rPr>
              <w:t xml:space="preserve"> </w:t>
            </w:r>
          </w:p>
        </w:tc>
        <w:tc>
          <w:tcPr>
            <w:tcW w:w="4299" w:type="dxa"/>
            <w:tcBorders>
              <w:bottom w:val="single" w:sz="12" w:space="0" w:color="008000"/>
            </w:tcBorders>
            <w:vAlign w:val="center"/>
          </w:tcPr>
          <w:p w14:paraId="6B209E12"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Economies of scale factor of buffer tank</w:t>
            </w:r>
          </w:p>
        </w:tc>
        <w:tc>
          <w:tcPr>
            <w:tcW w:w="1484" w:type="dxa"/>
            <w:tcBorders>
              <w:bottom w:val="single" w:sz="12" w:space="0" w:color="008000"/>
            </w:tcBorders>
            <w:noWrap/>
            <w:vAlign w:val="center"/>
          </w:tcPr>
          <w:p w14:paraId="5D5D12BF"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w:t>
            </w:r>
          </w:p>
        </w:tc>
        <w:tc>
          <w:tcPr>
            <w:tcW w:w="1399" w:type="dxa"/>
            <w:tcBorders>
              <w:bottom w:val="single" w:sz="12" w:space="0" w:color="008000"/>
            </w:tcBorders>
            <w:noWrap/>
            <w:vAlign w:val="center"/>
          </w:tcPr>
          <w:p w14:paraId="56A50D1D" w14:textId="77777777" w:rsidR="001C744A" w:rsidRPr="00156221" w:rsidRDefault="001C744A" w:rsidP="00156221">
            <w:pPr>
              <w:pStyle w:val="CETBodytext"/>
              <w:cnfStyle w:val="000000000000" w:firstRow="0" w:lastRow="0" w:firstColumn="0" w:lastColumn="0" w:oddVBand="0" w:evenVBand="0" w:oddHBand="0" w:evenHBand="0" w:firstRowFirstColumn="0" w:firstRowLastColumn="0" w:lastRowFirstColumn="0" w:lastRowLastColumn="0"/>
            </w:pPr>
            <w:r w:rsidRPr="00156221">
              <w:t>1</w:t>
            </w:r>
          </w:p>
        </w:tc>
      </w:tr>
    </w:tbl>
    <w:p w14:paraId="0B99952E" w14:textId="7F605B95" w:rsidR="001C744A" w:rsidRDefault="00704862" w:rsidP="00F42D02">
      <w:pPr>
        <w:pStyle w:val="CETBodytext"/>
        <w:rPr>
          <w:lang w:eastAsia="de-DE"/>
        </w:rPr>
      </w:pPr>
      <w:proofErr w:type="spellStart"/>
      <w:r>
        <w:rPr>
          <w:vertAlign w:val="superscript"/>
          <w:lang w:eastAsia="de-DE"/>
        </w:rPr>
        <w:t>a</w:t>
      </w:r>
      <w:r>
        <w:rPr>
          <w:lang w:eastAsia="de-DE"/>
        </w:rPr>
        <w:t>Source</w:t>
      </w:r>
      <w:proofErr w:type="spellEnd"/>
      <w:r w:rsidR="009116AE">
        <w:rPr>
          <w:lang w:eastAsia="de-DE"/>
        </w:rPr>
        <w:t>:</w:t>
      </w:r>
      <w:r>
        <w:rPr>
          <w:lang w:eastAsia="de-DE"/>
        </w:rPr>
        <w:t xml:space="preserve"> Peter et al.</w:t>
      </w:r>
      <w:r w:rsidR="00C01653">
        <w:rPr>
          <w:lang w:eastAsia="de-DE"/>
        </w:rPr>
        <w:t xml:space="preserve"> </w:t>
      </w:r>
      <w:sdt>
        <w:sdtPr>
          <w:rPr>
            <w:lang w:eastAsia="de-DE"/>
          </w:rPr>
          <w:alias w:val="To edit, see citavi.com/edit"/>
          <w:tag w:val="CitaviPlaceholder#b273f7f7-90ea-49eb-ac9a-7760d21ab9a4"/>
          <w:id w:val="1899783928"/>
          <w:placeholder>
            <w:docPart w:val="DefaultPlaceholder_-1854013440"/>
          </w:placeholder>
        </w:sdtPr>
        <w:sdtEndPr/>
        <w:sdtContent>
          <w:r w:rsidR="00C01653">
            <w:rPr>
              <w:lang w:eastAsia="de-DE"/>
            </w:rPr>
            <w:fldChar w:fldCharType="begin"/>
          </w:r>
          <w:r w:rsidR="00C01653">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MjJlM2M4LWM1MDgtNDE0MS1iMDc3LWE1M2MzYmQ5NjYzZCIsIlJhbmdlTGVuZ3RoIjo2LCJSZWZlcmVuY2VJZCI6ImVkOTAyYjk4LWZiNjItNDU1OS05NGFkLTZhYmE4ODlmN2Uz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UiLCJFdmFsdWF0aW9uQ29tcGxleGl0eSI6MCwiRXZhbHVhdGlvblNvdXJjZVRleHRGb3JtYXQiOjAsIkdyb3VwcyI6W10sIkhhc0xhYmVsMSI6ZmFsc2UsIkhhc0xhYmVsMiI6ZmFsc2UsIklzYm4iOiI5NzgtMDA3MTI0MDQ0NCI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A6Ly93d3cubWhoZS5jb20vZW5nY3MvY2hlbWljYWwvcGV0ZXJzL2RhdGEvIiwiVXJpU3RyaW5nIjoiaHR0cDovL3d3dy5taGhlLmNvbS9lbmdjcy9jaGVtaWNhbC9wZXRlcnMvZGF0YS8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}</w:instrText>
          </w:r>
          <w:r w:rsidR="00C01653">
            <w:rPr>
              <w:lang w:eastAsia="de-DE"/>
            </w:rPr>
            <w:fldChar w:fldCharType="separate"/>
          </w:r>
          <w:r w:rsidR="00C01653">
            <w:rPr>
              <w:lang w:eastAsia="de-DE"/>
            </w:rPr>
            <w:t>(2006)</w:t>
          </w:r>
          <w:r w:rsidR="00C01653">
            <w:rPr>
              <w:lang w:eastAsia="de-DE"/>
            </w:rPr>
            <w:fldChar w:fldCharType="end"/>
          </w:r>
        </w:sdtContent>
      </w:sdt>
      <w:r>
        <w:rPr>
          <w:lang w:eastAsia="de-DE"/>
        </w:rPr>
        <w:t xml:space="preserve"> </w:t>
      </w:r>
    </w:p>
    <w:p w14:paraId="793EB5E1" w14:textId="77777777" w:rsidR="00704862" w:rsidRPr="00704862" w:rsidRDefault="00704862" w:rsidP="00F42D02">
      <w:pPr>
        <w:pStyle w:val="CETBodytext"/>
        <w:rPr>
          <w:lang w:eastAsia="de-DE"/>
        </w:rPr>
      </w:pPr>
    </w:p>
    <w:p w14:paraId="7B5934B4" w14:textId="7DE41CCF" w:rsidR="00104C5E" w:rsidRDefault="003F5DCC" w:rsidP="00104C5E">
      <w:pPr>
        <w:pStyle w:val="CETBodytext"/>
        <w:rPr>
          <w:lang w:eastAsia="de-DE"/>
        </w:rPr>
      </w:pPr>
      <w:r>
        <w:rPr>
          <w:lang w:eastAsia="de-DE"/>
        </w:rPr>
        <w:t>For the initial steady-state optimization, t</w:t>
      </w:r>
      <w:r w:rsidR="00104C5E" w:rsidRPr="00104C5E">
        <w:rPr>
          <w:lang w:eastAsia="de-DE"/>
        </w:rPr>
        <w:t xml:space="preserve">he decanter model </w:t>
      </w:r>
      <w:r w:rsidR="00F249C0">
        <w:rPr>
          <w:lang w:eastAsia="de-DE"/>
        </w:rPr>
        <w:t>was</w:t>
      </w:r>
      <w:r w:rsidR="00104C5E" w:rsidRPr="00104C5E">
        <w:rPr>
          <w:lang w:eastAsia="de-DE"/>
        </w:rPr>
        <w:t xml:space="preserve"> transferred from Aspen Plus to </w:t>
      </w:r>
      <w:r w:rsidR="009D0BE1">
        <w:rPr>
          <w:lang w:eastAsia="de-DE"/>
        </w:rPr>
        <w:t xml:space="preserve">the dynamic simulation equivalent </w:t>
      </w:r>
      <w:r w:rsidR="00104C5E" w:rsidRPr="00104C5E">
        <w:rPr>
          <w:lang w:eastAsia="de-DE"/>
        </w:rPr>
        <w:t xml:space="preserve">ACM. To make optimization possible, all </w:t>
      </w:r>
      <w:r w:rsidR="00EF0706">
        <w:rPr>
          <w:lang w:eastAsia="de-DE"/>
        </w:rPr>
        <w:t>decision support tool</w:t>
      </w:r>
      <w:r w:rsidR="00104C5E" w:rsidRPr="00104C5E">
        <w:rPr>
          <w:lang w:eastAsia="de-DE"/>
        </w:rPr>
        <w:t xml:space="preserve"> formulas </w:t>
      </w:r>
      <w:r w:rsidR="00F249C0">
        <w:rPr>
          <w:lang w:eastAsia="de-DE"/>
        </w:rPr>
        <w:t>were</w:t>
      </w:r>
      <w:r w:rsidR="00104C5E" w:rsidRPr="00104C5E">
        <w:rPr>
          <w:lang w:eastAsia="de-DE"/>
        </w:rPr>
        <w:t xml:space="preserve"> implemented in the flowsheet of the ACM model. With the ACM optimization tool, the optimal </w:t>
      </w:r>
      <m:oMath>
        <m:sSub>
          <m:sSubPr>
            <m:ctrlPr>
              <w:rPr>
                <w:rFonts w:ascii="Cambria Math" w:hAnsi="Cambria Math"/>
              </w:rPr>
            </m:ctrlPr>
          </m:sSubPr>
          <m:e>
            <m:r>
              <w:rPr>
                <w:rFonts w:ascii="Cambria Math" w:hAnsi="Cambria Math"/>
              </w:rPr>
              <m:t>F</m:t>
            </m:r>
          </m:e>
          <m:sub>
            <m:r>
              <w:rPr>
                <w:rFonts w:ascii="Cambria Math" w:hAnsi="Cambria Math"/>
              </w:rPr>
              <m:t>os</m:t>
            </m:r>
          </m:sub>
        </m:sSub>
        <m:r>
          <w:rPr>
            <w:rFonts w:ascii="Cambria Math" w:hAnsi="Cambria Math"/>
          </w:rPr>
          <m:t xml:space="preserve"> </m:t>
        </m:r>
      </m:oMath>
      <w:r w:rsidR="00F249C0">
        <w:rPr>
          <w:lang w:eastAsia="de-DE"/>
        </w:rPr>
        <w:t>was</w:t>
      </w:r>
      <w:r w:rsidR="00104C5E" w:rsidRPr="00104C5E">
        <w:rPr>
          <w:lang w:eastAsia="de-DE"/>
        </w:rPr>
        <w:t xml:space="preserve"> calculated</w:t>
      </w:r>
      <w:r w:rsidRPr="003F5DCC">
        <w:rPr>
          <w:lang w:eastAsia="de-DE"/>
        </w:rPr>
        <w:t xml:space="preserve"> </w:t>
      </w:r>
      <w:r w:rsidRPr="00104C5E">
        <w:rPr>
          <w:lang w:eastAsia="de-DE"/>
        </w:rPr>
        <w:t>first</w:t>
      </w:r>
      <w:r w:rsidR="00104C5E" w:rsidRPr="00104C5E">
        <w:rPr>
          <w:lang w:eastAsia="de-DE"/>
        </w:rPr>
        <w:t xml:space="preserve">. </w:t>
      </w:r>
      <w:bookmarkStart w:id="19" w:name="_Hlk134452086"/>
      <w:r w:rsidR="00104C5E" w:rsidRPr="00104C5E">
        <w:rPr>
          <w:lang w:eastAsia="de-DE"/>
        </w:rPr>
        <w:t xml:space="preserve">The objective function – the total expenditure – </w:t>
      </w:r>
      <w:r w:rsidR="00763FA9">
        <w:rPr>
          <w:lang w:eastAsia="de-DE"/>
        </w:rPr>
        <w:t>was to be</w:t>
      </w:r>
      <w:r w:rsidR="00104C5E" w:rsidRPr="00104C5E">
        <w:rPr>
          <w:lang w:eastAsia="de-DE"/>
        </w:rPr>
        <w:t xml:space="preserve"> minimized. The control variable </w:t>
      </w:r>
      <w:r w:rsidR="00763FA9">
        <w:rPr>
          <w:lang w:eastAsia="de-DE"/>
        </w:rPr>
        <w:t>was</w:t>
      </w:r>
      <w:r w:rsidR="00104C5E" w:rsidRPr="00104C5E">
        <w:rPr>
          <w:lang w:eastAsia="de-DE"/>
        </w:rPr>
        <w:t xml:space="preserve">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104C5E" w:rsidRPr="00104C5E">
        <w:rPr>
          <w:lang w:eastAsia="de-DE"/>
        </w:rPr>
        <w:t>.</w:t>
      </w:r>
      <w:r w:rsidR="00131B53">
        <w:rPr>
          <w:lang w:eastAsia="de-DE"/>
        </w:rPr>
        <w:t xml:space="preserve"> </w:t>
      </w:r>
      <w:r w:rsidR="00104C5E" w:rsidRPr="00104C5E">
        <w:rPr>
          <w:lang w:eastAsia="de-DE"/>
        </w:rPr>
        <w:t xml:space="preserve">The period considered </w:t>
      </w:r>
      <w:r w:rsidR="00763FA9">
        <w:rPr>
          <w:lang w:eastAsia="de-DE"/>
        </w:rPr>
        <w:t>was</w:t>
      </w:r>
      <w:r w:rsidR="00104C5E" w:rsidRPr="00104C5E">
        <w:rPr>
          <w:lang w:eastAsia="de-DE"/>
        </w:rPr>
        <w:t xml:space="preserve"> one day with initially one control variable element.</w:t>
      </w:r>
      <w:r w:rsidR="00104C5E">
        <w:rPr>
          <w:lang w:eastAsia="de-DE"/>
        </w:rPr>
        <w:t xml:space="preserve"> </w:t>
      </w:r>
    </w:p>
    <w:bookmarkEnd w:id="19"/>
    <w:p w14:paraId="14314035" w14:textId="62733F61" w:rsidR="00104C5E" w:rsidRPr="00104C5E" w:rsidRDefault="00104C5E" w:rsidP="00104C5E">
      <w:pPr>
        <w:pStyle w:val="CETBodytext"/>
        <w:rPr>
          <w:rFonts w:eastAsiaTheme="majorEastAsia" w:cstheme="majorBidi"/>
          <w:b/>
          <w:bCs/>
          <w:szCs w:val="26"/>
        </w:rPr>
      </w:pPr>
      <w:r w:rsidRPr="00104C5E">
        <w:t xml:space="preserve">The process is suitable for the DSM application if the </w:t>
      </w:r>
      <w:r w:rsidR="0070417C">
        <w:t>steady-state</w:t>
      </w:r>
      <w:r w:rsidRPr="00104C5E">
        <w:t xml:space="preserve"> optimization finds an optimal </w:t>
      </w:r>
      <m:oMath>
        <m:sSub>
          <m:sSubPr>
            <m:ctrlPr>
              <w:rPr>
                <w:rFonts w:ascii="Cambria Math" w:hAnsi="Cambria Math"/>
              </w:rPr>
            </m:ctrlPr>
          </m:sSubPr>
          <m:e>
            <m:r>
              <w:rPr>
                <w:rFonts w:ascii="Cambria Math" w:hAnsi="Cambria Math"/>
              </w:rPr>
              <m:t>F</m:t>
            </m:r>
          </m:e>
          <m:sub>
            <m:r>
              <w:rPr>
                <w:rFonts w:ascii="Cambria Math" w:hAnsi="Cambria Math"/>
              </w:rPr>
              <m:t>os</m:t>
            </m:r>
          </m:sub>
        </m:sSub>
        <m:r>
          <w:rPr>
            <w:rFonts w:ascii="Cambria Math" w:hAnsi="Cambria Math"/>
          </w:rPr>
          <m:t xml:space="preserve"> </m:t>
        </m:r>
      </m:oMath>
      <w:r w:rsidRPr="00104C5E">
        <w:t xml:space="preserve">value. With this optimized </w:t>
      </w:r>
      <m:oMath>
        <m:sSub>
          <m:sSubPr>
            <m:ctrlPr>
              <w:rPr>
                <w:rFonts w:ascii="Cambria Math" w:hAnsi="Cambria Math"/>
              </w:rPr>
            </m:ctrlPr>
          </m:sSubPr>
          <m:e>
            <m:r>
              <w:rPr>
                <w:rFonts w:ascii="Cambria Math" w:hAnsi="Cambria Math"/>
              </w:rPr>
              <m:t>F</m:t>
            </m:r>
          </m:e>
          <m:sub>
            <m:r>
              <w:rPr>
                <w:rFonts w:ascii="Cambria Math" w:hAnsi="Cambria Math"/>
              </w:rPr>
              <m:t>os</m:t>
            </m:r>
          </m:sub>
        </m:sSub>
        <m:r>
          <w:rPr>
            <w:rFonts w:ascii="Cambria Math" w:hAnsi="Cambria Math"/>
          </w:rPr>
          <m:t xml:space="preserve"> </m:t>
        </m:r>
      </m:oMath>
      <w:r w:rsidRPr="00104C5E">
        <w:t xml:space="preserve">value, a dynamic optimization </w:t>
      </w:r>
      <w:r w:rsidR="00763FA9">
        <w:t>was</w:t>
      </w:r>
      <w:r w:rsidRPr="00104C5E">
        <w:t xml:space="preserve"> carried out. The </w:t>
      </w:r>
      <w:r w:rsidR="0070417C">
        <w:t>steady-state</w:t>
      </w:r>
      <w:r w:rsidRPr="00104C5E">
        <w:t xml:space="preserve"> optimization can thus find a very accurate value for the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E23070">
        <w:t xml:space="preserve"> </w:t>
      </w:r>
      <w:r w:rsidRPr="00104C5E">
        <w:t xml:space="preserve">and </w:t>
      </w:r>
      <m:oMath>
        <m:sSub>
          <m:sSubPr>
            <m:ctrlPr>
              <w:rPr>
                <w:rFonts w:ascii="Cambria Math" w:hAnsi="Cambria Math"/>
                <w:lang w:eastAsia="de-DE"/>
              </w:rPr>
            </m:ctrlPr>
          </m:sSubPr>
          <m:e>
            <m:r>
              <w:rPr>
                <w:rFonts w:ascii="Cambria Math" w:hAnsi="Cambria Math"/>
                <w:lang w:eastAsia="de-DE"/>
              </w:rPr>
              <m:t>t</m:t>
            </m:r>
          </m:e>
          <m:sub>
            <m:r>
              <w:rPr>
                <w:rFonts w:ascii="Cambria Math" w:hAnsi="Cambria Math"/>
                <w:lang w:eastAsia="de-DE"/>
              </w:rPr>
              <m:t>app</m:t>
            </m:r>
          </m:sub>
        </m:sSub>
      </m:oMath>
      <w:r w:rsidRPr="00104C5E">
        <w:t xml:space="preserve">. From the point of view of a plant </w:t>
      </w:r>
      <w:r w:rsidR="0053734A">
        <w:t>design</w:t>
      </w:r>
      <w:r w:rsidRPr="00104C5E">
        <w:t>, this may not seem practical since oversizing to such a degree of accuracy is not possible. For this reason, dynamic scheduling was also carried out for comparison</w:t>
      </w:r>
      <w:r w:rsidR="0053734A">
        <w:t>. This</w:t>
      </w:r>
      <w:r w:rsidRPr="00104C5E">
        <w:t xml:space="preserve"> dynamically optimizes a flexible switching on and off of a decanter depending on electricity prices at different pre</w:t>
      </w:r>
      <w:r w:rsidR="007646DA">
        <w:t>-</w:t>
      </w:r>
      <w:r w:rsidRPr="00104C5E">
        <w:t xml:space="preserve">defined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104C5E">
        <w:t>.</w:t>
      </w:r>
    </w:p>
    <w:p w14:paraId="305F35E9" w14:textId="28AEAC2C" w:rsidR="00E4233D" w:rsidRDefault="00E4233D" w:rsidP="00885D9C">
      <w:pPr>
        <w:pStyle w:val="CETheadingx"/>
      </w:pPr>
      <w:r w:rsidRPr="00D52ECD">
        <w:t xml:space="preserve">Development of </w:t>
      </w:r>
      <w:r w:rsidR="00DA183C">
        <w:t>dynamic</w:t>
      </w:r>
      <w:r>
        <w:t xml:space="preserve"> </w:t>
      </w:r>
      <w:r w:rsidRPr="00D52ECD">
        <w:t>optimization strategy in aspen custom modeler</w:t>
      </w:r>
    </w:p>
    <w:p w14:paraId="4FA3EEEE" w14:textId="500FE522" w:rsidR="00E4233D" w:rsidRPr="00871EF8" w:rsidRDefault="00156221" w:rsidP="00871EF8">
      <w:pPr>
        <w:pStyle w:val="CETBodytext"/>
      </w:pPr>
      <w:r w:rsidRPr="00156221">
        <w:rPr>
          <w:noProof/>
        </w:rPr>
        <w:drawing>
          <wp:anchor distT="0" distB="0" distL="114300" distR="114300" simplePos="0" relativeHeight="251664384" behindDoc="0" locked="0" layoutInCell="1" allowOverlap="1" wp14:anchorId="6709C250" wp14:editId="59EB5B97">
            <wp:simplePos x="0" y="0"/>
            <wp:positionH relativeFrom="column">
              <wp:posOffset>2650033</wp:posOffset>
            </wp:positionH>
            <wp:positionV relativeFrom="paragraph">
              <wp:posOffset>561264</wp:posOffset>
            </wp:positionV>
            <wp:extent cx="2742565" cy="1353185"/>
            <wp:effectExtent l="0" t="0" r="63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89" t="-3664" r="1" b="-1"/>
                    <a:stretch/>
                  </pic:blipFill>
                  <pic:spPr bwMode="auto">
                    <a:xfrm>
                      <a:off x="0" y="0"/>
                      <a:ext cx="2742565" cy="1353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C5E" w:rsidRPr="00871EF8">
        <w:t>The dynamic optimization schedule</w:t>
      </w:r>
      <w:r w:rsidR="00BD6C65" w:rsidRPr="00871EF8">
        <w:t>d</w:t>
      </w:r>
      <w:r w:rsidR="00104C5E" w:rsidRPr="00871EF8">
        <w:t xml:space="preserve"> the switch-on and off time of the decanter centrifuge according to time-dependent electricity prices. For this scenario, 24 time-data points with the CP values of the German power market database toolbox </w:t>
      </w:r>
      <w:r w:rsidR="00AA2874" w:rsidRPr="00871EF8">
        <w:fldChar w:fldCharType="begin"/>
      </w:r>
      <w:r w:rsidR="00640147" w:rsidRPr="00871EF8">
        <w:instrText>ADDIN CITAVI.PLACEHOLDER 9bbda944-427d-4172-90cd-9b064a80f194 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XJ0aW4gRG90emF1ZXIpPC9UZXh0Pg0KICAgIDwvVGV4dFVuaXQ+DQogIDwvVGV4dFVuaXRzPg0KPC9QbGFjZWhvbGRlcj4=</w:instrText>
      </w:r>
      <w:r w:rsidR="00AA2874" w:rsidRPr="00871EF8">
        <w:fldChar w:fldCharType="separate"/>
      </w:r>
      <w:bookmarkStart w:id="20" w:name="_CTVP0019bbda944427d417290cd9b064a80f194"/>
      <w:r w:rsidR="00640147" w:rsidRPr="00871EF8">
        <w:t>(Martin Dotzauer)</w:t>
      </w:r>
      <w:bookmarkEnd w:id="20"/>
      <w:r w:rsidR="00AA2874" w:rsidRPr="00871EF8">
        <w:fldChar w:fldCharType="end"/>
      </w:r>
      <w:r w:rsidR="00AA2874" w:rsidRPr="00871EF8">
        <w:t xml:space="preserve"> </w:t>
      </w:r>
      <w:r w:rsidR="00763FA9" w:rsidRPr="00871EF8">
        <w:t>were</w:t>
      </w:r>
      <w:r w:rsidR="00E4233D" w:rsidRPr="00871EF8">
        <w:t xml:space="preserve"> inserted, </w:t>
      </w:r>
      <w:r w:rsidR="00AA2874" w:rsidRPr="00871EF8">
        <w:t>following</w:t>
      </w:r>
      <w:r w:rsidR="00E4233D" w:rsidRPr="00871EF8">
        <w:t xml:space="preserve"> an average daily course of electricity prices for 2022.</w:t>
      </w:r>
      <w:r w:rsidR="00F913B6" w:rsidRPr="00871EF8">
        <w:t xml:space="preserve"> </w:t>
      </w:r>
    </w:p>
    <w:p w14:paraId="5F11FEA5" w14:textId="70BFB17F" w:rsidR="00E4233D" w:rsidRDefault="001B0579" w:rsidP="00DA183C">
      <w:pPr>
        <w:pStyle w:val="CETBodytext"/>
      </w:pPr>
      <w:r>
        <w:rPr>
          <w:noProof/>
          <w:lang w:val="de-DE" w:eastAsia="de-DE"/>
        </w:rPr>
        <mc:AlternateContent>
          <mc:Choice Requires="wps">
            <w:drawing>
              <wp:anchor distT="0" distB="0" distL="114300" distR="114300" simplePos="0" relativeHeight="251660288" behindDoc="0" locked="0" layoutInCell="1" allowOverlap="1" wp14:anchorId="1BC33EEA" wp14:editId="1AA5A6D6">
                <wp:simplePos x="0" y="0"/>
                <wp:positionH relativeFrom="margin">
                  <wp:posOffset>2545080</wp:posOffset>
                </wp:positionH>
                <wp:positionV relativeFrom="paragraph">
                  <wp:posOffset>1234910</wp:posOffset>
                </wp:positionV>
                <wp:extent cx="3025140" cy="340995"/>
                <wp:effectExtent l="0" t="0" r="3810" b="1905"/>
                <wp:wrapSquare wrapText="bothSides"/>
                <wp:docPr id="1" name="Textfeld 1"/>
                <wp:cNvGraphicFramePr/>
                <a:graphic xmlns:a="http://schemas.openxmlformats.org/drawingml/2006/main">
                  <a:graphicData uri="http://schemas.microsoft.com/office/word/2010/wordprocessingShape">
                    <wps:wsp>
                      <wps:cNvSpPr txBox="1"/>
                      <wps:spPr>
                        <a:xfrm>
                          <a:off x="0" y="0"/>
                          <a:ext cx="3025140" cy="340995"/>
                        </a:xfrm>
                        <a:prstGeom prst="rect">
                          <a:avLst/>
                        </a:prstGeom>
                        <a:solidFill>
                          <a:prstClr val="white"/>
                        </a:solidFill>
                        <a:ln>
                          <a:noFill/>
                        </a:ln>
                      </wps:spPr>
                      <wps:txbx>
                        <w:txbxContent>
                          <w:p w14:paraId="59EA2614" w14:textId="1A3EB41D" w:rsidR="00AB2849" w:rsidRPr="00C96CDC" w:rsidRDefault="00AB2849" w:rsidP="00D34408">
                            <w:pPr>
                              <w:pStyle w:val="CETCaption"/>
                              <w:jc w:val="center"/>
                              <w:rPr>
                                <w:noProof/>
                                <w:lang w:val="en-US"/>
                              </w:rPr>
                            </w:pPr>
                            <w:bookmarkStart w:id="21" w:name="_Ref127792975"/>
                            <w:r>
                              <w:t xml:space="preserve">Figure </w:t>
                            </w:r>
                            <w:r>
                              <w:fldChar w:fldCharType="begin"/>
                            </w:r>
                            <w:r>
                              <w:instrText xml:space="preserve"> SEQ Figure \* ARABIC </w:instrText>
                            </w:r>
                            <w:r>
                              <w:fldChar w:fldCharType="separate"/>
                            </w:r>
                            <w:r>
                              <w:rPr>
                                <w:noProof/>
                              </w:rPr>
                              <w:t>3</w:t>
                            </w:r>
                            <w:r>
                              <w:fldChar w:fldCharType="end"/>
                            </w:r>
                            <w:bookmarkEnd w:id="21"/>
                            <w:r>
                              <w:t>: Separation efficiency dependent on input flow.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33EEA" id="Textfeld 1" o:spid="_x0000_s1027" type="#_x0000_t202" style="position:absolute;left:0;text-align:left;margin-left:200.4pt;margin-top:97.25pt;width:238.2pt;height:2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" stroked="f">
                <v:textbox inset="0,0,0,0">
                  <w:txbxContent>
                    <w:p w14:paraId="59EA2614" w14:textId="1A3EB41D" w:rsidR="00AB2849" w:rsidRPr="00C96CDC" w:rsidRDefault="00AB2849" w:rsidP="00D34408">
                      <w:pPr>
                        <w:pStyle w:val="CETCaption"/>
                        <w:jc w:val="center"/>
                        <w:rPr>
                          <w:noProof/>
                          <w:lang w:val="en-US"/>
                        </w:rPr>
                      </w:pPr>
                      <w:bookmarkStart w:id="23" w:name="_Ref127792975"/>
                      <w:r>
                        <w:t xml:space="preserve">Figure </w:t>
                      </w:r>
                      <w:r>
                        <w:fldChar w:fldCharType="begin"/>
                      </w:r>
                      <w:r>
                        <w:instrText xml:space="preserve"> SEQ Figure \* ARABIC </w:instrText>
                      </w:r>
                      <w:r>
                        <w:fldChar w:fldCharType="separate"/>
                      </w:r>
                      <w:r>
                        <w:rPr>
                          <w:noProof/>
                        </w:rPr>
                        <w:t>3</w:t>
                      </w:r>
                      <w:r>
                        <w:fldChar w:fldCharType="end"/>
                      </w:r>
                      <w:bookmarkEnd w:id="23"/>
                      <w:r>
                        <w:t>: Separation efficiency dependent on input flow.</w:t>
                      </w:r>
                    </w:p>
                  </w:txbxContent>
                </v:textbox>
                <w10:wrap type="square" anchorx="margin"/>
              </v:shape>
            </w:pict>
          </mc:Fallback>
        </mc:AlternateContent>
      </w:r>
      <w:r w:rsidR="00E4233D" w:rsidRPr="00DA183C">
        <w:t xml:space="preserve">To model an on/off operation of the decanter in ACM, a </w:t>
      </w:r>
      <w:r w:rsidR="0053734A">
        <w:t>step</w:t>
      </w:r>
      <w:r w:rsidR="00E4233D" w:rsidRPr="00DA183C">
        <w:t xml:space="preserve"> function </w:t>
      </w:r>
      <w:r w:rsidR="00763FA9">
        <w:t>was</w:t>
      </w:r>
      <w:r w:rsidR="00E4233D" w:rsidRPr="00DA183C">
        <w:t xml:space="preserve"> inserted that manipulates the separation efficiencies of the decanter. The separation efficiencies in the decanter </w:t>
      </w:r>
      <w:r w:rsidR="00763FA9">
        <w:t>were</w:t>
      </w:r>
      <w:r w:rsidR="00E4233D" w:rsidRPr="00DA183C">
        <w:t xml:space="preserve"> </w:t>
      </w:r>
      <w:r w:rsidR="00B20458" w:rsidRPr="00DA183C">
        <w:t>calculated</w:t>
      </w:r>
      <w:r w:rsidR="00E4233D" w:rsidRPr="00DA183C">
        <w:t xml:space="preserve"> as a function of the flow rates. </w:t>
      </w:r>
      <w:r w:rsidR="007646DA" w:rsidRPr="00DA183C">
        <w:t>Th</w:t>
      </w:r>
      <w:r w:rsidR="007646DA">
        <w:t>is</w:t>
      </w:r>
      <w:r w:rsidR="007646DA" w:rsidRPr="00DA183C">
        <w:t xml:space="preserve"> </w:t>
      </w:r>
      <w:r w:rsidR="00E4233D" w:rsidRPr="00DA183C">
        <w:t xml:space="preserve">effect can be seen </w:t>
      </w:r>
      <w:r w:rsidR="00624219">
        <w:t xml:space="preserve">in </w:t>
      </w:r>
      <w:r w:rsidR="00624219">
        <w:fldChar w:fldCharType="begin"/>
      </w:r>
      <w:r w:rsidR="00624219">
        <w:instrText xml:space="preserve"> REF _Ref127792975 \h </w:instrText>
      </w:r>
      <w:r w:rsidR="00624219">
        <w:fldChar w:fldCharType="separate"/>
      </w:r>
      <w:r w:rsidR="0070417C">
        <w:t xml:space="preserve">Figure </w:t>
      </w:r>
      <w:r w:rsidR="0070417C">
        <w:rPr>
          <w:noProof/>
        </w:rPr>
        <w:t>3</w:t>
      </w:r>
      <w:r w:rsidR="00624219">
        <w:fldChar w:fldCharType="end"/>
      </w:r>
      <w:r w:rsidR="00E4233D" w:rsidRPr="00DA183C">
        <w:t>. The decanter</w:t>
      </w:r>
      <w:r w:rsidR="00104C5E">
        <w:t>,</w:t>
      </w:r>
      <w:r w:rsidR="00E4233D" w:rsidRPr="00DA183C">
        <w:t xml:space="preserve"> therefore</w:t>
      </w:r>
      <w:r w:rsidR="00104C5E">
        <w:t>,</w:t>
      </w:r>
      <w:r w:rsidR="00E4233D" w:rsidRPr="00DA183C">
        <w:t xml:space="preserve"> only separates when the design operating point is reached. In the example of </w:t>
      </w:r>
      <w:r w:rsidR="00624219">
        <w:fldChar w:fldCharType="begin"/>
      </w:r>
      <w:r w:rsidR="00624219">
        <w:instrText xml:space="preserve"> REF _Ref127792975 \h </w:instrText>
      </w:r>
      <w:r w:rsidR="00624219">
        <w:fldChar w:fldCharType="separate"/>
      </w:r>
      <w:r w:rsidR="0070417C">
        <w:t xml:space="preserve">Figure </w:t>
      </w:r>
      <w:r w:rsidR="0070417C">
        <w:rPr>
          <w:noProof/>
        </w:rPr>
        <w:t>3</w:t>
      </w:r>
      <w:r w:rsidR="00624219">
        <w:fldChar w:fldCharType="end"/>
      </w:r>
      <w:r w:rsidR="00E4233D" w:rsidRPr="00DA183C">
        <w:t xml:space="preserve"> with no oversizing the decanter only operates </w:t>
      </w:r>
      <w:r w:rsidR="00B20458" w:rsidRPr="00DA183C">
        <w:t>above</w:t>
      </w:r>
      <w:r w:rsidR="00E4233D" w:rsidRPr="00DA183C">
        <w:t xml:space="preserve"> an input flow of 279 </w:t>
      </w:r>
      <w:proofErr w:type="spellStart"/>
      <w:r w:rsidR="009D0BE1">
        <w:t>kt</w:t>
      </w:r>
      <w:proofErr w:type="spellEnd"/>
      <w:r w:rsidR="009D0BE1">
        <w:t>/y</w:t>
      </w:r>
      <w:r w:rsidR="00E4233D" w:rsidRPr="00DA183C">
        <w:t xml:space="preserve">. </w:t>
      </w:r>
    </w:p>
    <w:p w14:paraId="30245F92" w14:textId="528BD762" w:rsidR="00BD6C65" w:rsidRPr="00871EF8" w:rsidRDefault="00E4233D" w:rsidP="00871EF8">
      <w:pPr>
        <w:pStyle w:val="CETBodytext"/>
      </w:pPr>
      <w:r w:rsidRPr="00871EF8">
        <w:lastRenderedPageBreak/>
        <w:t xml:space="preserve">To represent a more realistic operation of the decanter, the following assumptions </w:t>
      </w:r>
      <w:r w:rsidR="00763FA9" w:rsidRPr="00871EF8">
        <w:t>were</w:t>
      </w:r>
      <w:r w:rsidRPr="00871EF8">
        <w:t xml:space="preserve"> </w:t>
      </w:r>
      <w:r w:rsidR="00377540" w:rsidRPr="00871EF8">
        <w:t>considered</w:t>
      </w:r>
      <w:r w:rsidRPr="00871EF8">
        <w:t xml:space="preserve"> in the dynamic simulation:</w:t>
      </w:r>
      <w:r w:rsidR="00DA183C" w:rsidRPr="00871EF8">
        <w:t xml:space="preserve"> </w:t>
      </w:r>
      <w:r w:rsidR="00BD6C65" w:rsidRPr="00871EF8">
        <w:t xml:space="preserve">Switch-on and off times are one hour each. The process can only be switched on and off in hourly intervals.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D6C65" w:rsidRPr="00871EF8">
        <w:t xml:space="preserve"> values are limited to steps of 25</w:t>
      </w:r>
      <w:r w:rsidR="009D0BE1">
        <w:t> %</w:t>
      </w:r>
      <w:r w:rsidR="00BD6C65" w:rsidRPr="00871EF8">
        <w:t>.</w:t>
      </w:r>
    </w:p>
    <w:p w14:paraId="6C1DB615" w14:textId="12707BB1" w:rsidR="00E4233D" w:rsidRPr="00F42D02" w:rsidRDefault="00BD6C65" w:rsidP="00BD6C65">
      <w:pPr>
        <w:pStyle w:val="CETBodytext"/>
      </w:pPr>
      <w:r w:rsidRPr="00871EF8">
        <w:t xml:space="preserve">During the dynamic optimization the process was automatically switched on and off when this is most suitable according to the electricity prices. The objective function </w:t>
      </w:r>
      <m:oMath>
        <m:sSub>
          <m:sSubPr>
            <m:ctrlPr>
              <w:rPr>
                <w:rFonts w:ascii="Cambria Math" w:hAnsi="Cambria Math"/>
              </w:rPr>
            </m:ctrlPr>
          </m:sSubPr>
          <m:e>
            <m:r>
              <w:rPr>
                <w:rFonts w:ascii="Cambria Math" w:hAnsi="Cambria Math"/>
              </w:rPr>
              <m:t>C</m:t>
            </m:r>
          </m:e>
          <m:sub>
            <m:r>
              <w:rPr>
                <w:rFonts w:ascii="Cambria Math" w:hAnsi="Cambria Math"/>
              </w:rPr>
              <m:t>totex</m:t>
            </m:r>
          </m:sub>
        </m:sSub>
      </m:oMath>
      <w:r w:rsidRPr="00871EF8">
        <w:t xml:space="preserve"> was to be minimized. The control variable was the feed flow with operation limits between 0 t/</w:t>
      </w:r>
      <w:proofErr w:type="spellStart"/>
      <w:r w:rsidRPr="00871EF8">
        <w:t>hr</w:t>
      </w:r>
      <w:proofErr w:type="spellEnd"/>
      <w:r w:rsidRPr="00871EF8">
        <w:t xml:space="preserve"> and </w:t>
      </w:r>
      <m:oMath>
        <m:acc>
          <m:accPr>
            <m:chr m:val="̇"/>
            <m:ctrlPr>
              <w:rPr>
                <w:rFonts w:ascii="Cambria Math" w:hAnsi="Cambria Math"/>
              </w:rPr>
            </m:ctrlPr>
          </m:accPr>
          <m:e>
            <m:r>
              <w:rPr>
                <w:rFonts w:ascii="Cambria Math" w:hAnsi="Cambria Math"/>
              </w:rPr>
              <m:t>m</m:t>
            </m:r>
          </m:e>
        </m:acc>
        <m:r>
          <m:rPr>
            <m:sty m:val="p"/>
          </m:rP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os</m:t>
            </m:r>
          </m:sub>
        </m:sSub>
        <m:r>
          <m:rPr>
            <m:sty m:val="p"/>
          </m:rPr>
          <w:rPr>
            <w:rFonts w:ascii="Cambria Math" w:hAnsi="Cambria Math"/>
          </w:rPr>
          <m:t xml:space="preserve">). </m:t>
        </m:r>
      </m:oMath>
      <w:r w:rsidRPr="00871EF8">
        <w:t xml:space="preserve">The period considered was one day with 24 variable elements. As a constraint, it was specified that the cumulated liquid product stream should remain constant at the end of the day. The optimized dynamic scheduling was carried out for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of 75</w:t>
      </w:r>
      <w:r w:rsidR="009D0BE1">
        <w:t> %</w:t>
      </w:r>
      <w:r w:rsidRPr="00871EF8">
        <w:t>, 100</w:t>
      </w:r>
      <w:r w:rsidR="009D0BE1">
        <w:t> %</w:t>
      </w:r>
      <w:r w:rsidRPr="00871EF8">
        <w:t>, 150</w:t>
      </w:r>
      <w:r w:rsidR="009D0BE1">
        <w:t> %</w:t>
      </w:r>
      <w:r w:rsidRPr="00871EF8">
        <w:t>, and 200</w:t>
      </w:r>
      <w:r w:rsidR="009D0BE1">
        <w:t> %</w:t>
      </w:r>
      <w:r w:rsidRPr="00871EF8">
        <w:t xml:space="preserve"> with expected </w:t>
      </w:r>
      <m:oMath>
        <m:sSub>
          <m:sSubPr>
            <m:ctrlPr>
              <w:rPr>
                <w:rFonts w:ascii="Cambria Math" w:hAnsi="Cambria Math"/>
              </w:rPr>
            </m:ctrlPr>
          </m:sSubPr>
          <m:e>
            <m:r>
              <w:rPr>
                <w:rFonts w:ascii="Cambria Math" w:hAnsi="Cambria Math"/>
              </w:rPr>
              <m:t>t</m:t>
            </m:r>
          </m:e>
          <m:sub>
            <m:r>
              <w:rPr>
                <w:rFonts w:ascii="Cambria Math" w:hAnsi="Cambria Math"/>
              </w:rPr>
              <m:t>app</m:t>
            </m:r>
          </m:sub>
        </m:sSub>
      </m:oMath>
      <w:r w:rsidRPr="00871EF8">
        <w:t xml:space="preserve"> of 10 h, 12 h, 14 h, and 16 hr. </w:t>
      </w:r>
    </w:p>
    <w:p w14:paraId="4ADF2DBA" w14:textId="4E71FF48" w:rsidR="00E4233D" w:rsidRPr="00E4233D" w:rsidRDefault="00E4233D" w:rsidP="00F42D02">
      <w:pPr>
        <w:pStyle w:val="CETHeading1"/>
      </w:pPr>
      <w:bookmarkStart w:id="22" w:name="_Toc127531181"/>
      <w:bookmarkStart w:id="23" w:name="_Toc127779441"/>
      <w:r w:rsidRPr="00E4233D">
        <w:t>Results</w:t>
      </w:r>
      <w:bookmarkEnd w:id="22"/>
      <w:bookmarkEnd w:id="23"/>
      <w:r w:rsidR="00962A26">
        <w:t xml:space="preserve"> and Dis</w:t>
      </w:r>
      <w:r w:rsidR="00185296">
        <w:t>c</w:t>
      </w:r>
      <w:r w:rsidR="00962A26">
        <w:t>ussion</w:t>
      </w:r>
    </w:p>
    <w:p w14:paraId="1C8EF808" w14:textId="2EC11744" w:rsidR="00E4233D" w:rsidRPr="00EF4C7F" w:rsidRDefault="00EF4C7F" w:rsidP="00F42D02">
      <w:pPr>
        <w:pStyle w:val="CETBodytext"/>
        <w:rPr>
          <w:lang w:eastAsia="de-DE"/>
        </w:rPr>
      </w:pPr>
      <w:r w:rsidRPr="00EF4C7F">
        <w:rPr>
          <w:lang w:eastAsia="de-DE"/>
        </w:rPr>
        <w:t xml:space="preserve">The results of the </w:t>
      </w:r>
      <w:r w:rsidR="007646DA">
        <w:rPr>
          <w:lang w:eastAsia="de-DE"/>
        </w:rPr>
        <w:t>steady-state</w:t>
      </w:r>
      <w:r w:rsidR="007646DA" w:rsidRPr="00EF4C7F">
        <w:rPr>
          <w:lang w:eastAsia="de-DE"/>
        </w:rPr>
        <w:t xml:space="preserve"> </w:t>
      </w:r>
      <w:r w:rsidRPr="00EF4C7F">
        <w:rPr>
          <w:lang w:eastAsia="de-DE"/>
        </w:rPr>
        <w:t xml:space="preserve">optimization show that the </w:t>
      </w:r>
      <w:r w:rsidR="00EF0706">
        <w:rPr>
          <w:lang w:eastAsia="de-DE"/>
        </w:rPr>
        <w:t>decision support tool</w:t>
      </w:r>
      <w:r w:rsidRPr="00EF4C7F">
        <w:rPr>
          <w:lang w:eastAsia="de-DE"/>
        </w:rPr>
        <w:t xml:space="preserve"> presented by Röder at al. </w:t>
      </w:r>
      <w:r w:rsidR="00535F30">
        <w:rPr>
          <w:lang w:eastAsia="de-DE"/>
        </w:rPr>
        <w:fldChar w:fldCharType="begin"/>
      </w:r>
      <w:r w:rsidR="00535F30">
        <w:rPr>
          <w:lang w:eastAsia="de-DE"/>
        </w:rPr>
        <w:instrText>ADDIN CITAVI.PLACEHOLDER 7a73c88b-4e8b-4578-8607-0ad68fa1e3b6 PFBsYWNlaG9sZGVyPg0KICA8QWRkSW5WZXJzaW9uPjUuNy4wLjA8L0FkZEluVmVyc2lvbj4NCiAgPElkPjdhNzNjODhiLTRlOGItNDU3OC04NjA3LTBhZDY4ZmExZTNiNjwvSWQ+DQogIDxFbnRyaWVzPg0KICAgIDxFbnRyeT4NCiAgICAgIDxJZD5iZGUyYjI5ZC04OWU0LTQ0MzUtOTg4Mi1kMDZhMmZmYWUyYWU8L0lkPg0KICAgICAgPFJlZmVyZW5jZUlkPjNlODM2MGMyLWFlYjctNDMyMS1hYjNlLTU2YmQ4Nzc4MzAx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yk8L1RleHQ+DQogICAgPC9UZXh0VW5pdD4NCiAgPC9UZXh0VW5pdHM+DQo8L1BsYWNlaG9sZGVyPg==</w:instrText>
      </w:r>
      <w:r w:rsidR="00535F30">
        <w:rPr>
          <w:lang w:eastAsia="de-DE"/>
        </w:rPr>
        <w:fldChar w:fldCharType="separate"/>
      </w:r>
      <w:bookmarkStart w:id="24" w:name="_CTVP0017a73c88b4e8b457886070ad68fa1e3b6"/>
      <w:r w:rsidR="00535F30">
        <w:rPr>
          <w:lang w:eastAsia="de-DE"/>
        </w:rPr>
        <w:t>(2023)</w:t>
      </w:r>
      <w:bookmarkEnd w:id="24"/>
      <w:r w:rsidR="00535F30">
        <w:rPr>
          <w:lang w:eastAsia="de-DE"/>
        </w:rPr>
        <w:fldChar w:fldCharType="end"/>
      </w:r>
      <w:r w:rsidR="00535F30">
        <w:rPr>
          <w:lang w:eastAsia="de-DE"/>
        </w:rPr>
        <w:t xml:space="preserve"> </w:t>
      </w:r>
      <w:r w:rsidRPr="00EF4C7F">
        <w:rPr>
          <w:lang w:eastAsia="de-DE"/>
        </w:rPr>
        <w:t xml:space="preserve">could be transferred to ACM. </w:t>
      </w:r>
      <w:r w:rsidR="00104C5E" w:rsidRPr="00104C5E">
        <w:rPr>
          <w:lang w:eastAsia="de-DE"/>
        </w:rPr>
        <w:t xml:space="preserve">The incorporated </w:t>
      </w:r>
      <w:r w:rsidR="00EF0706">
        <w:rPr>
          <w:lang w:eastAsia="de-DE"/>
        </w:rPr>
        <w:t>decision support tool</w:t>
      </w:r>
      <w:r w:rsidR="00104C5E" w:rsidRPr="00104C5E">
        <w:rPr>
          <w:lang w:eastAsia="de-DE"/>
        </w:rPr>
        <w:t xml:space="preserve"> formulas allow optimization with respect to an ideal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104C5E" w:rsidRPr="00104C5E">
        <w:rPr>
          <w:lang w:eastAsia="de-DE"/>
        </w:rPr>
        <w:t xml:space="preserve">. With the new values for CP and the </w:t>
      </w:r>
      <w:r w:rsidR="0070417C">
        <w:rPr>
          <w:lang w:eastAsia="de-DE"/>
        </w:rPr>
        <w:t>steady-state</w:t>
      </w:r>
      <w:r w:rsidR="00104C5E" w:rsidRPr="00104C5E">
        <w:rPr>
          <w:lang w:eastAsia="de-DE"/>
        </w:rPr>
        <w:t xml:space="preserve"> ACM optimization, the optimal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104C5E" w:rsidRPr="00104C5E">
        <w:rPr>
          <w:lang w:eastAsia="de-DE"/>
        </w:rPr>
        <w:t xml:space="preserve">, </w:t>
      </w:r>
      <m:oMath>
        <m:sSub>
          <m:sSubPr>
            <m:ctrlPr>
              <w:rPr>
                <w:rFonts w:ascii="Cambria Math" w:hAnsi="Cambria Math"/>
              </w:rPr>
            </m:ctrlPr>
          </m:sSubPr>
          <m:e>
            <m:r>
              <w:rPr>
                <w:rFonts w:ascii="Cambria Math" w:hAnsi="Cambria Math"/>
              </w:rPr>
              <m:t>t</m:t>
            </m:r>
          </m:e>
          <m:sub>
            <m:r>
              <w:rPr>
                <w:rFonts w:ascii="Cambria Math" w:hAnsi="Cambria Math"/>
              </w:rPr>
              <m:t>app</m:t>
            </m:r>
          </m:sub>
        </m:sSub>
      </m:oMath>
      <w:r w:rsidR="00104C5E" w:rsidRPr="00104C5E">
        <w:rPr>
          <w:lang w:eastAsia="de-DE"/>
        </w:rPr>
        <w:t xml:space="preserve">, and </w:t>
      </w:r>
      <m:oMath>
        <m:sSub>
          <m:sSubPr>
            <m:ctrlPr>
              <w:rPr>
                <w:rFonts w:ascii="Cambria Math" w:hAnsi="Cambria Math"/>
              </w:rPr>
            </m:ctrlPr>
          </m:sSubPr>
          <m:e>
            <m:r>
              <w:rPr>
                <w:rFonts w:ascii="Cambria Math" w:hAnsi="Cambria Math"/>
              </w:rPr>
              <m:t>C</m:t>
            </m:r>
          </m:e>
          <m:sub>
            <m:r>
              <w:rPr>
                <w:rFonts w:ascii="Cambria Math" w:hAnsi="Cambria Math"/>
              </w:rPr>
              <m:t>totex_min</m:t>
            </m:r>
          </m:sub>
        </m:sSub>
      </m:oMath>
      <w:r w:rsidR="00104C5E" w:rsidRPr="00104C5E">
        <w:rPr>
          <w:lang w:eastAsia="de-DE"/>
        </w:rPr>
        <w:t xml:space="preserve">, can be calculated. These values are listed in </w:t>
      </w:r>
      <w:r w:rsidR="00636084">
        <w:rPr>
          <w:lang w:eastAsia="de-DE"/>
        </w:rPr>
        <w:fldChar w:fldCharType="begin"/>
      </w:r>
      <w:r w:rsidR="00636084">
        <w:rPr>
          <w:lang w:eastAsia="de-DE"/>
        </w:rPr>
        <w:instrText xml:space="preserve"> REF _Ref127796743 \h </w:instrText>
      </w:r>
      <w:r w:rsidR="00636084">
        <w:rPr>
          <w:lang w:eastAsia="de-DE"/>
        </w:rPr>
      </w:r>
      <w:r w:rsidR="00636084">
        <w:rPr>
          <w:lang w:eastAsia="de-DE"/>
        </w:rPr>
        <w:fldChar w:fldCharType="separate"/>
      </w:r>
      <w:r w:rsidR="0070417C">
        <w:t xml:space="preserve">Table </w:t>
      </w:r>
      <w:r w:rsidR="0070417C">
        <w:rPr>
          <w:noProof/>
        </w:rPr>
        <w:t>2</w:t>
      </w:r>
      <w:r w:rsidR="00636084">
        <w:rPr>
          <w:lang w:eastAsia="de-DE"/>
        </w:rPr>
        <w:fldChar w:fldCharType="end"/>
      </w:r>
      <w:r w:rsidR="004E4BE2">
        <w:rPr>
          <w:lang w:eastAsia="de-DE"/>
        </w:rPr>
        <w:t>.</w:t>
      </w:r>
      <w:r w:rsidR="00636084">
        <w:rPr>
          <w:lang w:eastAsia="de-DE"/>
        </w:rPr>
        <w:t xml:space="preserve"> </w:t>
      </w:r>
      <w:r w:rsidR="00B96EAA">
        <w:rPr>
          <w:lang w:eastAsia="de-DE"/>
        </w:rPr>
        <w:t>The</w:t>
      </w:r>
      <w:r w:rsidR="00104C5E" w:rsidRPr="00104C5E">
        <w:rPr>
          <w:lang w:eastAsia="de-DE"/>
        </w:rPr>
        <w:t xml:space="preserve"> business as usual case (BAU) </w:t>
      </w:r>
      <w:r w:rsidR="00B96EAA">
        <w:rPr>
          <w:lang w:eastAsia="de-DE"/>
        </w:rPr>
        <w:t xml:space="preserve">is compared </w:t>
      </w:r>
      <w:r w:rsidR="00104C5E" w:rsidRPr="00104C5E">
        <w:rPr>
          <w:lang w:eastAsia="de-DE"/>
        </w:rPr>
        <w:t xml:space="preserve">with that one of DSM implementation where the optimal oversizing is found through </w:t>
      </w:r>
      <w:r w:rsidR="0070417C">
        <w:rPr>
          <w:lang w:eastAsia="de-DE"/>
        </w:rPr>
        <w:t>steady-state</w:t>
      </w:r>
      <w:r w:rsidR="00104C5E" w:rsidRPr="00104C5E">
        <w:rPr>
          <w:lang w:eastAsia="de-DE"/>
        </w:rPr>
        <w:t xml:space="preserve"> optimization.</w:t>
      </w:r>
    </w:p>
    <w:p w14:paraId="4860172F" w14:textId="7B3079A4" w:rsidR="00EA6510" w:rsidRDefault="00EA6510" w:rsidP="00EA6510">
      <w:pPr>
        <w:pStyle w:val="CETTabletitle"/>
      </w:pPr>
      <w:bookmarkStart w:id="25" w:name="_Ref127796743"/>
      <w:r>
        <w:t xml:space="preserve">Table </w:t>
      </w:r>
      <w:r>
        <w:fldChar w:fldCharType="begin"/>
      </w:r>
      <w:r>
        <w:instrText xml:space="preserve"> SEQ Table \* ARABIC </w:instrText>
      </w:r>
      <w:r>
        <w:fldChar w:fldCharType="separate"/>
      </w:r>
      <w:r w:rsidR="0070417C">
        <w:rPr>
          <w:noProof/>
        </w:rPr>
        <w:t>2</w:t>
      </w:r>
      <w:r>
        <w:fldChar w:fldCharType="end"/>
      </w:r>
      <w:bookmarkEnd w:id="25"/>
      <w:r>
        <w:t xml:space="preserve">: </w:t>
      </w:r>
      <w:r w:rsidR="0070417C">
        <w:t>Steady-state</w:t>
      </w:r>
      <w:r>
        <w:t xml:space="preserve"> optimization results comparing DSM </w:t>
      </w:r>
      <w:r>
        <w:rPr>
          <w:lang w:eastAsia="de-DE"/>
        </w:rPr>
        <w:t>implementation</w:t>
      </w:r>
      <w:r>
        <w:t xml:space="preserve"> to business as usual scenario</w:t>
      </w:r>
      <w:r w:rsidR="007646DA">
        <w:t>.</w:t>
      </w:r>
    </w:p>
    <w:tbl>
      <w:tblPr>
        <w:tblW w:w="878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4"/>
        <w:gridCol w:w="4899"/>
        <w:gridCol w:w="22"/>
        <w:gridCol w:w="811"/>
        <w:gridCol w:w="24"/>
        <w:gridCol w:w="570"/>
        <w:gridCol w:w="701"/>
      </w:tblGrid>
      <w:tr w:rsidR="00E4233D" w:rsidRPr="00EA6510" w14:paraId="41D2C180" w14:textId="77777777" w:rsidTr="00624219">
        <w:trPr>
          <w:trHeight w:val="281"/>
        </w:trPr>
        <w:tc>
          <w:tcPr>
            <w:tcW w:w="1754" w:type="dxa"/>
            <w:tcBorders>
              <w:top w:val="single" w:sz="12" w:space="0" w:color="008000"/>
              <w:bottom w:val="single" w:sz="6" w:space="0" w:color="008000"/>
            </w:tcBorders>
            <w:shd w:val="clear" w:color="auto" w:fill="FFFFFF"/>
            <w:vAlign w:val="center"/>
          </w:tcPr>
          <w:p w14:paraId="676B4F78" w14:textId="5A1ADCD8" w:rsidR="00E4233D" w:rsidRPr="00EA6510" w:rsidRDefault="009D0BE1" w:rsidP="00F42D02">
            <w:pPr>
              <w:pStyle w:val="CETBodytext"/>
              <w:rPr>
                <w:lang w:val="en-GB"/>
              </w:rPr>
            </w:pPr>
            <w:r w:rsidRPr="00EA6510">
              <w:rPr>
                <w:lang w:val="en-GB"/>
              </w:rPr>
              <w:t>Parameter</w:t>
            </w:r>
          </w:p>
        </w:tc>
        <w:tc>
          <w:tcPr>
            <w:tcW w:w="4899" w:type="dxa"/>
            <w:tcBorders>
              <w:top w:val="single" w:sz="12" w:space="0" w:color="008000"/>
              <w:bottom w:val="single" w:sz="6" w:space="0" w:color="008000"/>
            </w:tcBorders>
            <w:shd w:val="clear" w:color="auto" w:fill="FFFFFF"/>
          </w:tcPr>
          <w:p w14:paraId="1AD4A6EE" w14:textId="095A3E18" w:rsidR="00E4233D" w:rsidRPr="00EA6510" w:rsidRDefault="00E4233D" w:rsidP="00F42D02">
            <w:pPr>
              <w:pStyle w:val="CETBodytext"/>
              <w:rPr>
                <w:lang w:val="en-GB"/>
              </w:rPr>
            </w:pPr>
            <w:r w:rsidRPr="00EA6510">
              <w:rPr>
                <w:lang w:val="en-GB"/>
              </w:rPr>
              <w:t>Description</w:t>
            </w:r>
          </w:p>
        </w:tc>
        <w:tc>
          <w:tcPr>
            <w:tcW w:w="833" w:type="dxa"/>
            <w:gridSpan w:val="2"/>
            <w:tcBorders>
              <w:top w:val="single" w:sz="12" w:space="0" w:color="008000"/>
              <w:bottom w:val="single" w:sz="6" w:space="0" w:color="008000"/>
            </w:tcBorders>
            <w:shd w:val="clear" w:color="auto" w:fill="FFFFFF"/>
            <w:vAlign w:val="center"/>
          </w:tcPr>
          <w:p w14:paraId="6B14C75C" w14:textId="17699D00" w:rsidR="00E4233D" w:rsidRPr="00EA6510" w:rsidRDefault="00E4233D" w:rsidP="00B07970">
            <w:pPr>
              <w:pStyle w:val="CETBodytext"/>
              <w:jc w:val="center"/>
              <w:rPr>
                <w:lang w:val="en-GB"/>
              </w:rPr>
            </w:pPr>
            <w:r w:rsidRPr="00EA6510">
              <w:rPr>
                <w:lang w:val="en-GB"/>
              </w:rPr>
              <w:t>Unit</w:t>
            </w:r>
          </w:p>
        </w:tc>
        <w:tc>
          <w:tcPr>
            <w:tcW w:w="594" w:type="dxa"/>
            <w:gridSpan w:val="2"/>
            <w:tcBorders>
              <w:top w:val="single" w:sz="12" w:space="0" w:color="008000"/>
              <w:bottom w:val="single" w:sz="6" w:space="0" w:color="008000"/>
            </w:tcBorders>
            <w:shd w:val="clear" w:color="auto" w:fill="FFFFFF"/>
            <w:vAlign w:val="center"/>
          </w:tcPr>
          <w:p w14:paraId="1730F887" w14:textId="49B8BDC0" w:rsidR="00E4233D" w:rsidRPr="00EA6510" w:rsidRDefault="00E4233D" w:rsidP="00B07970">
            <w:pPr>
              <w:pStyle w:val="CETBodytext"/>
              <w:jc w:val="center"/>
              <w:rPr>
                <w:szCs w:val="18"/>
                <w:lang w:val="en-GB"/>
              </w:rPr>
            </w:pPr>
            <w:r w:rsidRPr="00EA6510">
              <w:rPr>
                <w:lang w:val="en-GB"/>
              </w:rPr>
              <w:t>BAU</w:t>
            </w:r>
          </w:p>
        </w:tc>
        <w:tc>
          <w:tcPr>
            <w:tcW w:w="701" w:type="dxa"/>
            <w:tcBorders>
              <w:top w:val="single" w:sz="12" w:space="0" w:color="008000"/>
              <w:bottom w:val="single" w:sz="6" w:space="0" w:color="008000"/>
            </w:tcBorders>
            <w:shd w:val="clear" w:color="auto" w:fill="FFFFFF"/>
            <w:vAlign w:val="center"/>
          </w:tcPr>
          <w:p w14:paraId="4CBB204B" w14:textId="4F5443CB" w:rsidR="00E4233D" w:rsidRPr="00EA6510" w:rsidRDefault="00E4233D" w:rsidP="00B07970">
            <w:pPr>
              <w:pStyle w:val="CETBodytext"/>
              <w:jc w:val="center"/>
              <w:rPr>
                <w:szCs w:val="18"/>
                <w:lang w:val="en-GB"/>
              </w:rPr>
            </w:pPr>
            <w:r w:rsidRPr="00EA6510">
              <w:rPr>
                <w:lang w:val="en-GB"/>
              </w:rPr>
              <w:t>DSM</w:t>
            </w:r>
          </w:p>
        </w:tc>
      </w:tr>
      <w:tr w:rsidR="00E4233D" w:rsidRPr="00BD7D43" w14:paraId="372468A0" w14:textId="77777777" w:rsidTr="00624219">
        <w:trPr>
          <w:trHeight w:val="281"/>
        </w:trPr>
        <w:tc>
          <w:tcPr>
            <w:tcW w:w="1754" w:type="dxa"/>
            <w:shd w:val="clear" w:color="auto" w:fill="FFFFFF"/>
            <w:vAlign w:val="center"/>
          </w:tcPr>
          <w:p w14:paraId="4D5626B0" w14:textId="6BADF22D" w:rsidR="00E4233D" w:rsidRPr="00EA6510" w:rsidRDefault="00C90354" w:rsidP="00F42D02">
            <w:pPr>
              <w:pStyle w:val="CETBodytext"/>
              <w:rPr>
                <w:lang w:val="en-GB"/>
              </w:rPr>
            </w:pPr>
            <m:oMath>
              <m:sSub>
                <m:sSubPr>
                  <m:ctrlPr>
                    <w:rPr>
                      <w:rFonts w:ascii="Cambria Math" w:hAnsi="Cambria Math"/>
                      <w:lang w:val="en-GB"/>
                    </w:rPr>
                  </m:ctrlPr>
                </m:sSubPr>
                <m:e>
                  <m:r>
                    <w:rPr>
                      <w:rFonts w:ascii="Cambria Math" w:hAnsi="Cambria Math"/>
                      <w:lang w:val="en-GB"/>
                    </w:rPr>
                    <m:t>EPC</m:t>
                  </m:r>
                </m:e>
                <m:sub>
                  <m:r>
                    <w:rPr>
                      <w:rFonts w:ascii="Cambria Math" w:hAnsi="Cambria Math"/>
                      <w:lang w:val="en-GB"/>
                    </w:rPr>
                    <m:t>p</m:t>
                  </m:r>
                </m:sub>
              </m:sSub>
            </m:oMath>
            <w:r w:rsidR="00E4233D" w:rsidRPr="00EA6510">
              <w:rPr>
                <w:lang w:val="en-GB"/>
              </w:rPr>
              <w:t xml:space="preserve"> </w:t>
            </w:r>
          </w:p>
        </w:tc>
        <w:tc>
          <w:tcPr>
            <w:tcW w:w="4899" w:type="dxa"/>
            <w:shd w:val="clear" w:color="auto" w:fill="FFFFFF"/>
            <w:vAlign w:val="center"/>
          </w:tcPr>
          <w:p w14:paraId="7D1709F2" w14:textId="6C88CC07" w:rsidR="00E4233D" w:rsidRPr="00BD7D43" w:rsidRDefault="00E4233D" w:rsidP="00BD7D43">
            <w:pPr>
              <w:pStyle w:val="CETBodytext"/>
            </w:pPr>
            <w:r w:rsidRPr="00BD7D43">
              <w:t>Electric power consumption of process</w:t>
            </w:r>
          </w:p>
        </w:tc>
        <w:tc>
          <w:tcPr>
            <w:tcW w:w="833" w:type="dxa"/>
            <w:gridSpan w:val="2"/>
            <w:shd w:val="clear" w:color="auto" w:fill="FFFFFF"/>
            <w:vAlign w:val="center"/>
          </w:tcPr>
          <w:p w14:paraId="77E58B36" w14:textId="70427CE4" w:rsidR="00E4233D" w:rsidRPr="00BD7D43" w:rsidRDefault="00E4233D" w:rsidP="00B07970">
            <w:pPr>
              <w:pStyle w:val="CETBodytext"/>
              <w:jc w:val="center"/>
            </w:pPr>
            <w:r w:rsidRPr="00BD7D43">
              <w:t>[kW</w:t>
            </w:r>
            <w:r w:rsidR="00772717">
              <w:t>h/h</w:t>
            </w:r>
            <w:r w:rsidRPr="00BD7D43">
              <w:t>]</w:t>
            </w:r>
          </w:p>
        </w:tc>
        <w:tc>
          <w:tcPr>
            <w:tcW w:w="594" w:type="dxa"/>
            <w:gridSpan w:val="2"/>
            <w:shd w:val="clear" w:color="auto" w:fill="FFFFFF"/>
            <w:vAlign w:val="center"/>
          </w:tcPr>
          <w:p w14:paraId="3C1A9206" w14:textId="5F80CCDE" w:rsidR="00E4233D" w:rsidRPr="00BD7D43" w:rsidRDefault="0017732C" w:rsidP="00B07970">
            <w:pPr>
              <w:pStyle w:val="CETBodytext"/>
              <w:jc w:val="center"/>
            </w:pPr>
            <w:r w:rsidRPr="00BD7D43">
              <w:t>174</w:t>
            </w:r>
          </w:p>
        </w:tc>
        <w:tc>
          <w:tcPr>
            <w:tcW w:w="701" w:type="dxa"/>
            <w:shd w:val="clear" w:color="auto" w:fill="FFFFFF"/>
            <w:vAlign w:val="center"/>
          </w:tcPr>
          <w:p w14:paraId="6260D050" w14:textId="2F440A61" w:rsidR="00E4233D" w:rsidRPr="00BD7D43" w:rsidRDefault="00E4233D" w:rsidP="00B07970">
            <w:pPr>
              <w:pStyle w:val="CETBodytext"/>
              <w:jc w:val="center"/>
            </w:pPr>
            <w:r w:rsidRPr="00BD7D43">
              <w:t>174</w:t>
            </w:r>
          </w:p>
        </w:tc>
      </w:tr>
      <w:tr w:rsidR="00E4233D" w:rsidRPr="00BD7D43" w14:paraId="5FF44F39" w14:textId="77777777" w:rsidTr="00624219">
        <w:trPr>
          <w:trHeight w:val="281"/>
        </w:trPr>
        <w:tc>
          <w:tcPr>
            <w:tcW w:w="1754" w:type="dxa"/>
            <w:shd w:val="clear" w:color="auto" w:fill="FFFFFF"/>
            <w:vAlign w:val="center"/>
          </w:tcPr>
          <w:p w14:paraId="06048972" w14:textId="59C4233C" w:rsidR="00E4233D" w:rsidRPr="00EA6510" w:rsidRDefault="00C90354" w:rsidP="00F42D02">
            <w:pPr>
              <w:pStyle w:val="CETBodytext"/>
              <w:rPr>
                <w:lang w:val="en-GB"/>
              </w:rPr>
            </w:pP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buf</m:t>
                  </m:r>
                </m:sub>
              </m:sSub>
            </m:oMath>
            <w:r w:rsidR="00E4233D" w:rsidRPr="00EA6510">
              <w:rPr>
                <w:lang w:val="en-GB"/>
              </w:rPr>
              <w:t xml:space="preserve"> </w:t>
            </w:r>
          </w:p>
        </w:tc>
        <w:tc>
          <w:tcPr>
            <w:tcW w:w="4899" w:type="dxa"/>
            <w:shd w:val="clear" w:color="auto" w:fill="FFFFFF"/>
            <w:vAlign w:val="center"/>
          </w:tcPr>
          <w:p w14:paraId="77198306" w14:textId="6DD98719" w:rsidR="00E4233D" w:rsidRPr="00BD7D43" w:rsidRDefault="00E4233D" w:rsidP="00BD7D43">
            <w:pPr>
              <w:pStyle w:val="CETBodytext"/>
            </w:pPr>
            <w:r w:rsidRPr="00BD7D43">
              <w:t>Investment for buffer tank</w:t>
            </w:r>
          </w:p>
        </w:tc>
        <w:tc>
          <w:tcPr>
            <w:tcW w:w="833" w:type="dxa"/>
            <w:gridSpan w:val="2"/>
            <w:shd w:val="clear" w:color="auto" w:fill="FFFFFF"/>
            <w:vAlign w:val="center"/>
          </w:tcPr>
          <w:p w14:paraId="28C46841" w14:textId="7A914EBF" w:rsidR="00E4233D" w:rsidRPr="00BD7D43" w:rsidRDefault="00E4233D" w:rsidP="00B07970">
            <w:pPr>
              <w:pStyle w:val="CETBodytext"/>
              <w:jc w:val="center"/>
            </w:pPr>
            <w:r w:rsidRPr="00BD7D43">
              <w:t>[k€]</w:t>
            </w:r>
          </w:p>
        </w:tc>
        <w:tc>
          <w:tcPr>
            <w:tcW w:w="594" w:type="dxa"/>
            <w:gridSpan w:val="2"/>
            <w:shd w:val="clear" w:color="auto" w:fill="FFFFFF"/>
            <w:vAlign w:val="center"/>
          </w:tcPr>
          <w:p w14:paraId="11E04ED2" w14:textId="3386DF1D" w:rsidR="00E4233D" w:rsidRPr="00BD7D43" w:rsidRDefault="00E4233D" w:rsidP="00B07970">
            <w:pPr>
              <w:pStyle w:val="CETBodytext"/>
              <w:jc w:val="center"/>
            </w:pPr>
            <w:r w:rsidRPr="00BD7D43">
              <w:t>0</w:t>
            </w:r>
          </w:p>
        </w:tc>
        <w:tc>
          <w:tcPr>
            <w:tcW w:w="701" w:type="dxa"/>
            <w:shd w:val="clear" w:color="auto" w:fill="FFFFFF"/>
            <w:vAlign w:val="center"/>
          </w:tcPr>
          <w:p w14:paraId="653C9385" w14:textId="582A1A66" w:rsidR="00E4233D" w:rsidRPr="00BD7D43" w:rsidRDefault="00E4233D" w:rsidP="00B07970">
            <w:pPr>
              <w:pStyle w:val="CETBodytext"/>
              <w:jc w:val="center"/>
            </w:pPr>
            <w:r w:rsidRPr="00BD7D43">
              <w:t>95</w:t>
            </w:r>
          </w:p>
        </w:tc>
      </w:tr>
      <w:tr w:rsidR="00E4233D" w:rsidRPr="00BD7D43" w14:paraId="5D6D818C" w14:textId="77777777" w:rsidTr="00624219">
        <w:trPr>
          <w:trHeight w:val="281"/>
        </w:trPr>
        <w:tc>
          <w:tcPr>
            <w:tcW w:w="1754" w:type="dxa"/>
            <w:shd w:val="clear" w:color="auto" w:fill="FFFFFF"/>
            <w:vAlign w:val="center"/>
          </w:tcPr>
          <w:p w14:paraId="762F4EC7" w14:textId="0F830184" w:rsidR="00E4233D" w:rsidRPr="00EA6510" w:rsidRDefault="00C90354" w:rsidP="00F42D02">
            <w:pPr>
              <w:pStyle w:val="CETBodytext"/>
              <w:rPr>
                <w:lang w:val="en-GB"/>
              </w:rPr>
            </w:pP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p</m:t>
                  </m:r>
                </m:sub>
              </m:sSub>
            </m:oMath>
            <w:r w:rsidR="00E4233D" w:rsidRPr="00EA6510">
              <w:rPr>
                <w:lang w:val="en-GB"/>
              </w:rPr>
              <w:t xml:space="preserve"> </w:t>
            </w:r>
          </w:p>
        </w:tc>
        <w:tc>
          <w:tcPr>
            <w:tcW w:w="4899" w:type="dxa"/>
            <w:shd w:val="clear" w:color="auto" w:fill="FFFFFF"/>
            <w:vAlign w:val="center"/>
          </w:tcPr>
          <w:p w14:paraId="0FEE1637" w14:textId="7CACD378" w:rsidR="00E4233D" w:rsidRPr="00BD7D43" w:rsidRDefault="00E4233D" w:rsidP="00BD7D43">
            <w:pPr>
              <w:pStyle w:val="CETBodytext"/>
            </w:pPr>
            <w:r w:rsidRPr="00BD7D43">
              <w:t>Investment for process</w:t>
            </w:r>
          </w:p>
        </w:tc>
        <w:tc>
          <w:tcPr>
            <w:tcW w:w="833" w:type="dxa"/>
            <w:gridSpan w:val="2"/>
            <w:shd w:val="clear" w:color="auto" w:fill="FFFFFF"/>
            <w:vAlign w:val="center"/>
          </w:tcPr>
          <w:p w14:paraId="3BD70171" w14:textId="63827D7A" w:rsidR="00E4233D" w:rsidRPr="00BD7D43" w:rsidRDefault="00E4233D" w:rsidP="00B07970">
            <w:pPr>
              <w:pStyle w:val="CETBodytext"/>
              <w:jc w:val="center"/>
            </w:pPr>
            <w:r w:rsidRPr="00BD7D43">
              <w:t>[k€]</w:t>
            </w:r>
          </w:p>
        </w:tc>
        <w:tc>
          <w:tcPr>
            <w:tcW w:w="594" w:type="dxa"/>
            <w:gridSpan w:val="2"/>
            <w:shd w:val="clear" w:color="auto" w:fill="FFFFFF"/>
            <w:vAlign w:val="center"/>
          </w:tcPr>
          <w:p w14:paraId="425F0E23" w14:textId="2014A53D" w:rsidR="00E4233D" w:rsidRPr="00BD7D43" w:rsidRDefault="00E4233D" w:rsidP="00B07970">
            <w:pPr>
              <w:pStyle w:val="CETBodytext"/>
              <w:jc w:val="center"/>
            </w:pPr>
            <w:r w:rsidRPr="00BD7D43">
              <w:t>197</w:t>
            </w:r>
          </w:p>
        </w:tc>
        <w:tc>
          <w:tcPr>
            <w:tcW w:w="701" w:type="dxa"/>
            <w:shd w:val="clear" w:color="auto" w:fill="FFFFFF"/>
            <w:vAlign w:val="center"/>
          </w:tcPr>
          <w:p w14:paraId="53AE367F" w14:textId="5313C88F" w:rsidR="00E4233D" w:rsidRPr="00BD7D43" w:rsidRDefault="00E4233D" w:rsidP="00B07970">
            <w:pPr>
              <w:pStyle w:val="CETBodytext"/>
              <w:jc w:val="center"/>
            </w:pPr>
            <w:r w:rsidRPr="00BD7D43">
              <w:t>388</w:t>
            </w:r>
          </w:p>
        </w:tc>
      </w:tr>
      <w:tr w:rsidR="00E4233D" w:rsidRPr="00BD7D43" w14:paraId="38623CED" w14:textId="77777777" w:rsidTr="00624219">
        <w:trPr>
          <w:trHeight w:val="281"/>
        </w:trPr>
        <w:tc>
          <w:tcPr>
            <w:tcW w:w="1754" w:type="dxa"/>
            <w:shd w:val="clear" w:color="auto" w:fill="FFFFFF"/>
            <w:vAlign w:val="center"/>
          </w:tcPr>
          <w:p w14:paraId="3C4872DA" w14:textId="0D1A723E" w:rsidR="00E4233D" w:rsidRPr="00EA6510" w:rsidRDefault="00C90354" w:rsidP="00F42D02">
            <w:pPr>
              <w:pStyle w:val="CETBodytext"/>
              <w:rPr>
                <w:lang w:val="en-GB"/>
              </w:rPr>
            </w:pP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00E4233D" w:rsidRPr="00EA6510">
              <w:t xml:space="preserve"> </w:t>
            </w:r>
          </w:p>
        </w:tc>
        <w:tc>
          <w:tcPr>
            <w:tcW w:w="4899" w:type="dxa"/>
            <w:shd w:val="clear" w:color="auto" w:fill="FFFFFF"/>
            <w:vAlign w:val="center"/>
          </w:tcPr>
          <w:p w14:paraId="426AF3AE" w14:textId="175A9F89" w:rsidR="00E4233D" w:rsidRPr="00BD7D43" w:rsidRDefault="00E4233D" w:rsidP="00BD7D43">
            <w:pPr>
              <w:pStyle w:val="CETBodytext"/>
            </w:pPr>
            <w:r w:rsidRPr="00BD7D43">
              <w:t>Operational expenditure per day</w:t>
            </w:r>
            <w:r w:rsidR="00D178BB">
              <w:t xml:space="preserve"> for process</w:t>
            </w:r>
          </w:p>
        </w:tc>
        <w:tc>
          <w:tcPr>
            <w:tcW w:w="833" w:type="dxa"/>
            <w:gridSpan w:val="2"/>
            <w:shd w:val="clear" w:color="auto" w:fill="FFFFFF"/>
            <w:vAlign w:val="center"/>
          </w:tcPr>
          <w:p w14:paraId="1C1335ED" w14:textId="35C1465B" w:rsidR="00E4233D" w:rsidRPr="00BD7D43" w:rsidRDefault="00E4233D" w:rsidP="00B07970">
            <w:pPr>
              <w:pStyle w:val="CETBodytext"/>
              <w:jc w:val="center"/>
            </w:pPr>
            <w:r w:rsidRPr="00BD7D43">
              <w:t>[€/</w:t>
            </w:r>
            <w:r w:rsidR="00B96EAA">
              <w:t>d</w:t>
            </w:r>
            <w:r w:rsidRPr="00BD7D43">
              <w:t>]</w:t>
            </w:r>
          </w:p>
        </w:tc>
        <w:tc>
          <w:tcPr>
            <w:tcW w:w="594" w:type="dxa"/>
            <w:gridSpan w:val="2"/>
            <w:shd w:val="clear" w:color="auto" w:fill="FFFFFF"/>
            <w:vAlign w:val="center"/>
          </w:tcPr>
          <w:p w14:paraId="2808852A" w14:textId="1073D968" w:rsidR="00E4233D" w:rsidRPr="00BD7D43" w:rsidRDefault="00E4233D" w:rsidP="00B07970">
            <w:pPr>
              <w:pStyle w:val="CETBodytext"/>
              <w:jc w:val="center"/>
            </w:pPr>
            <w:r w:rsidRPr="00BD7D43">
              <w:t>859</w:t>
            </w:r>
          </w:p>
        </w:tc>
        <w:tc>
          <w:tcPr>
            <w:tcW w:w="701" w:type="dxa"/>
            <w:shd w:val="clear" w:color="auto" w:fill="FFFFFF"/>
            <w:vAlign w:val="center"/>
          </w:tcPr>
          <w:p w14:paraId="69E95B58" w14:textId="47682500" w:rsidR="00E4233D" w:rsidRPr="00BD7D43" w:rsidRDefault="00E4233D" w:rsidP="00B07970">
            <w:pPr>
              <w:pStyle w:val="CETBodytext"/>
              <w:jc w:val="center"/>
            </w:pPr>
            <w:r w:rsidRPr="00BD7D43">
              <w:t>681</w:t>
            </w:r>
          </w:p>
        </w:tc>
      </w:tr>
      <w:tr w:rsidR="00E4233D" w:rsidRPr="00BD7D43" w14:paraId="67ADF392" w14:textId="77777777" w:rsidTr="00624219">
        <w:trPr>
          <w:trHeight w:val="281"/>
        </w:trPr>
        <w:tc>
          <w:tcPr>
            <w:tcW w:w="1754" w:type="dxa"/>
            <w:shd w:val="clear" w:color="auto" w:fill="FFFFFF"/>
            <w:vAlign w:val="center"/>
          </w:tcPr>
          <w:p w14:paraId="635FAACB" w14:textId="0A1C381E" w:rsidR="00E4233D" w:rsidRPr="00EA6510" w:rsidRDefault="00C90354" w:rsidP="00F42D02">
            <w:pPr>
              <w:pStyle w:val="CETBodytext"/>
              <w:rPr>
                <w:lang w:val="en-GB"/>
              </w:rPr>
            </w:pPr>
            <m:oMath>
              <m:sSub>
                <m:sSubPr>
                  <m:ctrlPr>
                    <w:rPr>
                      <w:rFonts w:ascii="Cambria Math" w:hAnsi="Cambria Math"/>
                    </w:rPr>
                  </m:ctrlPr>
                </m:sSubPr>
                <m:e>
                  <m:r>
                    <w:rPr>
                      <w:rFonts w:ascii="Cambria Math" w:hAnsi="Cambria Math"/>
                    </w:rPr>
                    <m:t>C</m:t>
                  </m:r>
                </m:e>
                <m:sub>
                  <m:r>
                    <w:rPr>
                      <w:rFonts w:ascii="Cambria Math" w:hAnsi="Cambria Math"/>
                    </w:rPr>
                    <m:t>capex_buf</m:t>
                  </m:r>
                </m:sub>
              </m:sSub>
            </m:oMath>
            <w:r w:rsidR="00E4233D" w:rsidRPr="00EA6510">
              <w:t xml:space="preserve"> </w:t>
            </w:r>
          </w:p>
        </w:tc>
        <w:tc>
          <w:tcPr>
            <w:tcW w:w="4899" w:type="dxa"/>
            <w:shd w:val="clear" w:color="auto" w:fill="FFFFFF"/>
            <w:vAlign w:val="center"/>
          </w:tcPr>
          <w:p w14:paraId="68281B5D" w14:textId="7F9BE018" w:rsidR="00E4233D" w:rsidRPr="00BD7D43" w:rsidRDefault="00E4233D" w:rsidP="00BD7D43">
            <w:pPr>
              <w:pStyle w:val="CETBodytext"/>
            </w:pPr>
            <w:r w:rsidRPr="00BD7D43">
              <w:t>Capital expenditure per day</w:t>
            </w:r>
            <w:r w:rsidR="003416B4">
              <w:t xml:space="preserve"> for buffer tank</w:t>
            </w:r>
          </w:p>
        </w:tc>
        <w:tc>
          <w:tcPr>
            <w:tcW w:w="833" w:type="dxa"/>
            <w:gridSpan w:val="2"/>
            <w:shd w:val="clear" w:color="auto" w:fill="FFFFFF"/>
            <w:vAlign w:val="center"/>
          </w:tcPr>
          <w:p w14:paraId="65AEB505" w14:textId="52B4F383" w:rsidR="00E4233D" w:rsidRPr="00BD7D43" w:rsidRDefault="00E4233D" w:rsidP="00B07970">
            <w:pPr>
              <w:pStyle w:val="CETBodytext"/>
              <w:jc w:val="center"/>
            </w:pPr>
            <w:r w:rsidRPr="00BD7D43">
              <w:t>[€/</w:t>
            </w:r>
            <w:r w:rsidR="00B96EAA">
              <w:t>d</w:t>
            </w:r>
            <w:r w:rsidRPr="00BD7D43">
              <w:t>]</w:t>
            </w:r>
          </w:p>
        </w:tc>
        <w:tc>
          <w:tcPr>
            <w:tcW w:w="594" w:type="dxa"/>
            <w:gridSpan w:val="2"/>
            <w:shd w:val="clear" w:color="auto" w:fill="FFFFFF"/>
            <w:vAlign w:val="center"/>
          </w:tcPr>
          <w:p w14:paraId="7A6372C7" w14:textId="3E4D5341" w:rsidR="00E4233D" w:rsidRPr="00BD7D43" w:rsidRDefault="00E4233D" w:rsidP="00B07970">
            <w:pPr>
              <w:pStyle w:val="CETBodytext"/>
              <w:jc w:val="center"/>
            </w:pPr>
            <w:r w:rsidRPr="00BD7D43">
              <w:t>0</w:t>
            </w:r>
          </w:p>
        </w:tc>
        <w:tc>
          <w:tcPr>
            <w:tcW w:w="701" w:type="dxa"/>
            <w:shd w:val="clear" w:color="auto" w:fill="FFFFFF"/>
            <w:vAlign w:val="center"/>
          </w:tcPr>
          <w:p w14:paraId="5437470F" w14:textId="377FC1E6" w:rsidR="00E4233D" w:rsidRPr="00BD7D43" w:rsidRDefault="00E4233D" w:rsidP="00B07970">
            <w:pPr>
              <w:pStyle w:val="CETBodytext"/>
              <w:jc w:val="center"/>
            </w:pPr>
            <w:r w:rsidRPr="00BD7D43">
              <w:t>29</w:t>
            </w:r>
          </w:p>
        </w:tc>
      </w:tr>
      <w:tr w:rsidR="00E4233D" w:rsidRPr="00BD7D43" w14:paraId="15E57D95" w14:textId="77777777" w:rsidTr="00624219">
        <w:trPr>
          <w:trHeight w:val="281"/>
        </w:trPr>
        <w:tc>
          <w:tcPr>
            <w:tcW w:w="1754" w:type="dxa"/>
            <w:tcBorders>
              <w:bottom w:val="single" w:sz="6" w:space="0" w:color="008000"/>
            </w:tcBorders>
            <w:shd w:val="clear" w:color="auto" w:fill="FFFFFF"/>
            <w:vAlign w:val="center"/>
          </w:tcPr>
          <w:p w14:paraId="225114BD" w14:textId="76750336" w:rsidR="00E4233D" w:rsidRPr="00EA6510" w:rsidRDefault="00C90354" w:rsidP="00F42D02">
            <w:pPr>
              <w:pStyle w:val="CETBodytext"/>
              <w:rPr>
                <w:lang w:val="en-GB"/>
              </w:rPr>
            </w:pPr>
            <m:oMath>
              <m:sSub>
                <m:sSubPr>
                  <m:ctrlPr>
                    <w:rPr>
                      <w:rFonts w:ascii="Cambria Math" w:hAnsi="Cambria Math"/>
                    </w:rPr>
                  </m:ctrlPr>
                </m:sSubPr>
                <m:e>
                  <m:r>
                    <w:rPr>
                      <w:rFonts w:ascii="Cambria Math" w:hAnsi="Cambria Math"/>
                    </w:rPr>
                    <m:t>C</m:t>
                  </m:r>
                </m:e>
                <m:sub>
                  <m:r>
                    <w:rPr>
                      <w:rFonts w:ascii="Cambria Math" w:hAnsi="Cambria Math"/>
                    </w:rPr>
                    <m:t>capex_P</m:t>
                  </m:r>
                </m:sub>
              </m:sSub>
            </m:oMath>
            <w:r w:rsidR="003416B4">
              <w:t xml:space="preserve"> </w:t>
            </w:r>
          </w:p>
        </w:tc>
        <w:tc>
          <w:tcPr>
            <w:tcW w:w="4899" w:type="dxa"/>
            <w:tcBorders>
              <w:bottom w:val="single" w:sz="6" w:space="0" w:color="008000"/>
            </w:tcBorders>
            <w:shd w:val="clear" w:color="auto" w:fill="FFFFFF"/>
            <w:vAlign w:val="center"/>
          </w:tcPr>
          <w:p w14:paraId="1B955DB2" w14:textId="434B6B17" w:rsidR="00E4233D" w:rsidRPr="00BD7D43" w:rsidRDefault="00E4233D" w:rsidP="00BD7D43">
            <w:pPr>
              <w:pStyle w:val="CETBodytext"/>
            </w:pPr>
            <w:r w:rsidRPr="00BD7D43">
              <w:t>Capital expenditure per day</w:t>
            </w:r>
            <w:r w:rsidR="003416B4">
              <w:t xml:space="preserve"> for process</w:t>
            </w:r>
          </w:p>
        </w:tc>
        <w:tc>
          <w:tcPr>
            <w:tcW w:w="833" w:type="dxa"/>
            <w:gridSpan w:val="2"/>
            <w:tcBorders>
              <w:bottom w:val="single" w:sz="6" w:space="0" w:color="008000"/>
            </w:tcBorders>
            <w:shd w:val="clear" w:color="auto" w:fill="FFFFFF"/>
            <w:vAlign w:val="center"/>
          </w:tcPr>
          <w:p w14:paraId="4C3830A2" w14:textId="02EEDC5C" w:rsidR="00E4233D" w:rsidRPr="00BD7D43" w:rsidRDefault="00E4233D" w:rsidP="00B07970">
            <w:pPr>
              <w:pStyle w:val="CETBodytext"/>
              <w:jc w:val="center"/>
            </w:pPr>
            <w:r w:rsidRPr="00BD7D43">
              <w:t>[€/</w:t>
            </w:r>
            <w:r w:rsidR="00B96EAA">
              <w:t>d</w:t>
            </w:r>
            <w:r w:rsidRPr="00BD7D43">
              <w:t>]</w:t>
            </w:r>
          </w:p>
        </w:tc>
        <w:tc>
          <w:tcPr>
            <w:tcW w:w="594" w:type="dxa"/>
            <w:gridSpan w:val="2"/>
            <w:tcBorders>
              <w:bottom w:val="single" w:sz="6" w:space="0" w:color="008000"/>
            </w:tcBorders>
            <w:shd w:val="clear" w:color="auto" w:fill="FFFFFF"/>
            <w:vAlign w:val="center"/>
          </w:tcPr>
          <w:p w14:paraId="22AE8ED2" w14:textId="6EA62A5F" w:rsidR="00E4233D" w:rsidRPr="00BD7D43" w:rsidRDefault="00E4233D" w:rsidP="00B07970">
            <w:pPr>
              <w:pStyle w:val="CETBodytext"/>
              <w:jc w:val="center"/>
            </w:pPr>
            <w:r w:rsidRPr="00BD7D43">
              <w:t>59</w:t>
            </w:r>
          </w:p>
        </w:tc>
        <w:tc>
          <w:tcPr>
            <w:tcW w:w="701" w:type="dxa"/>
            <w:tcBorders>
              <w:bottom w:val="single" w:sz="6" w:space="0" w:color="008000"/>
            </w:tcBorders>
            <w:shd w:val="clear" w:color="auto" w:fill="FFFFFF"/>
            <w:vAlign w:val="center"/>
          </w:tcPr>
          <w:p w14:paraId="1DA9CB35" w14:textId="77B47C17" w:rsidR="00E4233D" w:rsidRPr="00BD7D43" w:rsidRDefault="00E4233D" w:rsidP="00B07970">
            <w:pPr>
              <w:pStyle w:val="CETBodytext"/>
              <w:jc w:val="center"/>
            </w:pPr>
            <w:r w:rsidRPr="00BD7D43">
              <w:t>117</w:t>
            </w:r>
          </w:p>
        </w:tc>
      </w:tr>
      <w:tr w:rsidR="00E4233D" w:rsidRPr="00BD7D43" w14:paraId="73D74D22" w14:textId="77777777" w:rsidTr="00624219">
        <w:trPr>
          <w:trHeight w:val="281"/>
        </w:trPr>
        <w:tc>
          <w:tcPr>
            <w:tcW w:w="1754" w:type="dxa"/>
            <w:tcBorders>
              <w:top w:val="single" w:sz="6" w:space="0" w:color="008000"/>
              <w:bottom w:val="nil"/>
            </w:tcBorders>
            <w:shd w:val="clear" w:color="auto" w:fill="FFFFFF"/>
            <w:vAlign w:val="center"/>
          </w:tcPr>
          <w:p w14:paraId="06B1DF5F" w14:textId="3B5BA3C2" w:rsidR="00E4233D" w:rsidRPr="00EA6510" w:rsidRDefault="00C90354" w:rsidP="00F42D02">
            <w:pPr>
              <w:pStyle w:val="CETBodytext"/>
              <w:rPr>
                <w:lang w:val="en-GB"/>
              </w:rPr>
            </w:pPr>
            <m:oMath>
              <m:sSub>
                <m:sSubPr>
                  <m:ctrlPr>
                    <w:rPr>
                      <w:rFonts w:ascii="Cambria Math" w:hAnsi="Cambria Math"/>
                    </w:rPr>
                  </m:ctrlPr>
                </m:sSubPr>
                <m:e>
                  <m:r>
                    <w:rPr>
                      <w:rFonts w:ascii="Cambria Math" w:hAnsi="Cambria Math"/>
                    </w:rPr>
                    <m:t>C</m:t>
                  </m:r>
                </m:e>
                <m:sub>
                  <m:r>
                    <w:rPr>
                      <w:rFonts w:ascii="Cambria Math" w:hAnsi="Cambria Math"/>
                    </w:rPr>
                    <m:t>totex_min</m:t>
                  </m:r>
                </m:sub>
              </m:sSub>
            </m:oMath>
            <w:r w:rsidR="00E4233D" w:rsidRPr="00EA6510">
              <w:t xml:space="preserve"> </w:t>
            </w:r>
          </w:p>
        </w:tc>
        <w:tc>
          <w:tcPr>
            <w:tcW w:w="4899" w:type="dxa"/>
            <w:tcBorders>
              <w:top w:val="single" w:sz="6" w:space="0" w:color="008000"/>
              <w:bottom w:val="nil"/>
            </w:tcBorders>
            <w:shd w:val="clear" w:color="auto" w:fill="FFFFFF"/>
            <w:vAlign w:val="center"/>
          </w:tcPr>
          <w:p w14:paraId="70D2EB0B" w14:textId="4D039159" w:rsidR="00E4233D" w:rsidRPr="00BD7D43" w:rsidRDefault="00E4233D" w:rsidP="00BD7D43">
            <w:pPr>
              <w:pStyle w:val="CETBodytext"/>
            </w:pPr>
            <w:r w:rsidRPr="00BD7D43">
              <w:t>Total expenditure per day</w:t>
            </w:r>
            <w:r w:rsidR="00D178BB">
              <w:t xml:space="preserve"> for process and buffer tank</w:t>
            </w:r>
          </w:p>
        </w:tc>
        <w:tc>
          <w:tcPr>
            <w:tcW w:w="833" w:type="dxa"/>
            <w:gridSpan w:val="2"/>
            <w:tcBorders>
              <w:top w:val="single" w:sz="6" w:space="0" w:color="008000"/>
              <w:bottom w:val="nil"/>
            </w:tcBorders>
            <w:shd w:val="clear" w:color="auto" w:fill="FFFFFF"/>
            <w:vAlign w:val="center"/>
          </w:tcPr>
          <w:p w14:paraId="668FF34A" w14:textId="20885AE3" w:rsidR="00E4233D" w:rsidRPr="00BD7D43" w:rsidRDefault="00E4233D" w:rsidP="00B07970">
            <w:pPr>
              <w:pStyle w:val="CETBodytext"/>
              <w:jc w:val="center"/>
            </w:pPr>
            <w:r w:rsidRPr="00BD7D43">
              <w:t>[€/</w:t>
            </w:r>
            <w:r w:rsidR="00B96EAA">
              <w:t>d</w:t>
            </w:r>
            <w:r w:rsidRPr="00BD7D43">
              <w:t>]</w:t>
            </w:r>
          </w:p>
        </w:tc>
        <w:tc>
          <w:tcPr>
            <w:tcW w:w="594" w:type="dxa"/>
            <w:gridSpan w:val="2"/>
            <w:tcBorders>
              <w:top w:val="single" w:sz="6" w:space="0" w:color="008000"/>
              <w:bottom w:val="nil"/>
            </w:tcBorders>
            <w:shd w:val="clear" w:color="auto" w:fill="FFFFFF"/>
            <w:vAlign w:val="center"/>
          </w:tcPr>
          <w:p w14:paraId="3B75461C" w14:textId="5A545B13" w:rsidR="00E4233D" w:rsidRPr="00BD7D43" w:rsidRDefault="00E4233D" w:rsidP="00B07970">
            <w:pPr>
              <w:pStyle w:val="CETBodytext"/>
              <w:jc w:val="center"/>
            </w:pPr>
            <w:r w:rsidRPr="00BD7D43">
              <w:t>918</w:t>
            </w:r>
          </w:p>
        </w:tc>
        <w:tc>
          <w:tcPr>
            <w:tcW w:w="701" w:type="dxa"/>
            <w:tcBorders>
              <w:top w:val="single" w:sz="6" w:space="0" w:color="008000"/>
              <w:bottom w:val="nil"/>
            </w:tcBorders>
            <w:shd w:val="clear" w:color="auto" w:fill="FFFFFF"/>
            <w:vAlign w:val="center"/>
          </w:tcPr>
          <w:p w14:paraId="1D0F6D0D" w14:textId="7136D2E6" w:rsidR="00E4233D" w:rsidRPr="00BD7D43" w:rsidRDefault="00E4233D" w:rsidP="00B07970">
            <w:pPr>
              <w:pStyle w:val="CETBodytext"/>
              <w:jc w:val="center"/>
            </w:pPr>
            <w:r w:rsidRPr="00BD7D43">
              <w:t>821</w:t>
            </w:r>
          </w:p>
        </w:tc>
      </w:tr>
      <w:tr w:rsidR="00EF4C7F" w:rsidRPr="00BD7D43" w14:paraId="27AB0511" w14:textId="77777777" w:rsidTr="00624219">
        <w:trPr>
          <w:trHeight w:val="281"/>
        </w:trPr>
        <w:tc>
          <w:tcPr>
            <w:tcW w:w="1754" w:type="dxa"/>
            <w:tcBorders>
              <w:top w:val="nil"/>
              <w:bottom w:val="nil"/>
            </w:tcBorders>
            <w:shd w:val="clear" w:color="auto" w:fill="FFFFFF"/>
            <w:vAlign w:val="center"/>
          </w:tcPr>
          <w:p w14:paraId="621829F6" w14:textId="792971F3" w:rsidR="00EF4C7F" w:rsidRPr="00EA6510" w:rsidRDefault="00C90354" w:rsidP="00F42D02">
            <w:pPr>
              <w:pStyle w:val="CETBodytext"/>
              <w:rPr>
                <w:lang w:val="en-GB"/>
              </w:rPr>
            </w:pP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3416B4" w:rsidRPr="00104C5E">
              <w:rPr>
                <w:lang w:eastAsia="de-DE"/>
              </w:rPr>
              <w:t xml:space="preserve"> </w:t>
            </w:r>
            <w:r w:rsidR="00EF4C7F" w:rsidRPr="00EA6510">
              <w:t xml:space="preserve"> </w:t>
            </w:r>
          </w:p>
        </w:tc>
        <w:tc>
          <w:tcPr>
            <w:tcW w:w="4921" w:type="dxa"/>
            <w:gridSpan w:val="2"/>
            <w:tcBorders>
              <w:top w:val="nil"/>
              <w:bottom w:val="nil"/>
            </w:tcBorders>
            <w:shd w:val="clear" w:color="auto" w:fill="FFFFFF"/>
            <w:vAlign w:val="center"/>
          </w:tcPr>
          <w:p w14:paraId="540EA905" w14:textId="4BABCEE6" w:rsidR="00EF4C7F" w:rsidRPr="00BD7D43" w:rsidRDefault="00EF4C7F" w:rsidP="00B07970">
            <w:pPr>
              <w:pStyle w:val="CETBodytext"/>
              <w:jc w:val="left"/>
            </w:pPr>
            <w:r w:rsidRPr="00BD7D43">
              <w:t>Oversizing factor</w:t>
            </w:r>
          </w:p>
        </w:tc>
        <w:tc>
          <w:tcPr>
            <w:tcW w:w="835" w:type="dxa"/>
            <w:gridSpan w:val="2"/>
            <w:tcBorders>
              <w:top w:val="nil"/>
              <w:bottom w:val="nil"/>
            </w:tcBorders>
            <w:shd w:val="clear" w:color="auto" w:fill="FFFFFF"/>
            <w:vAlign w:val="center"/>
          </w:tcPr>
          <w:p w14:paraId="5176F8CF" w14:textId="5E7C129D" w:rsidR="00EF4C7F" w:rsidRPr="00BD7D43" w:rsidRDefault="00EF4C7F" w:rsidP="00B07970">
            <w:pPr>
              <w:pStyle w:val="CETBodytext"/>
              <w:jc w:val="center"/>
            </w:pPr>
            <w:r w:rsidRPr="00BD7D43">
              <w:t>[%]</w:t>
            </w:r>
          </w:p>
        </w:tc>
        <w:tc>
          <w:tcPr>
            <w:tcW w:w="570" w:type="dxa"/>
            <w:tcBorders>
              <w:top w:val="nil"/>
              <w:bottom w:val="nil"/>
            </w:tcBorders>
            <w:shd w:val="clear" w:color="auto" w:fill="FFFFFF"/>
            <w:vAlign w:val="center"/>
          </w:tcPr>
          <w:p w14:paraId="5C340ECA" w14:textId="58E2FE34" w:rsidR="00EF4C7F" w:rsidRPr="00BD7D43" w:rsidRDefault="00EF4C7F" w:rsidP="00B07970">
            <w:pPr>
              <w:pStyle w:val="CETBodytext"/>
              <w:jc w:val="center"/>
            </w:pPr>
            <w:r w:rsidRPr="00BD7D43">
              <w:t>0</w:t>
            </w:r>
          </w:p>
        </w:tc>
        <w:tc>
          <w:tcPr>
            <w:tcW w:w="701" w:type="dxa"/>
            <w:tcBorders>
              <w:top w:val="nil"/>
              <w:bottom w:val="nil"/>
            </w:tcBorders>
            <w:shd w:val="clear" w:color="auto" w:fill="FFFFFF"/>
          </w:tcPr>
          <w:p w14:paraId="5428434F" w14:textId="439274E5" w:rsidR="00EF4C7F" w:rsidRPr="00BD7D43" w:rsidRDefault="00B51883" w:rsidP="00B07970">
            <w:pPr>
              <w:pStyle w:val="CETBodytext"/>
              <w:jc w:val="center"/>
            </w:pPr>
            <w:r>
              <w:t>2</w:t>
            </w:r>
            <w:r w:rsidR="00993223">
              <w:t>09.8</w:t>
            </w:r>
          </w:p>
        </w:tc>
      </w:tr>
      <w:tr w:rsidR="00EF4C7F" w:rsidRPr="00BD7D43" w14:paraId="0895008F" w14:textId="77777777" w:rsidTr="00624219">
        <w:trPr>
          <w:trHeight w:val="281"/>
        </w:trPr>
        <w:tc>
          <w:tcPr>
            <w:tcW w:w="1754" w:type="dxa"/>
            <w:tcBorders>
              <w:top w:val="nil"/>
              <w:bottom w:val="single" w:sz="12" w:space="0" w:color="008000"/>
            </w:tcBorders>
            <w:shd w:val="clear" w:color="auto" w:fill="FFFFFF"/>
            <w:vAlign w:val="center"/>
          </w:tcPr>
          <w:p w14:paraId="26FCD69D" w14:textId="18F5BB71" w:rsidR="00EF4C7F" w:rsidRPr="00EA6510" w:rsidRDefault="00C90354" w:rsidP="00F42D02">
            <w:pPr>
              <w:pStyle w:val="CETBodytext"/>
              <w:rPr>
                <w:lang w:val="en-GB"/>
              </w:rPr>
            </w:pPr>
            <m:oMath>
              <m:sSub>
                <m:sSubPr>
                  <m:ctrlPr>
                    <w:rPr>
                      <w:rFonts w:ascii="Cambria Math" w:hAnsi="Cambria Math"/>
                    </w:rPr>
                  </m:ctrlPr>
                </m:sSubPr>
                <m:e>
                  <m:r>
                    <w:rPr>
                      <w:rFonts w:ascii="Cambria Math" w:hAnsi="Cambria Math"/>
                    </w:rPr>
                    <m:t>t</m:t>
                  </m:r>
                </m:e>
                <m:sub>
                  <m:r>
                    <w:rPr>
                      <w:rFonts w:ascii="Cambria Math" w:hAnsi="Cambria Math"/>
                    </w:rPr>
                    <m:t>app</m:t>
                  </m:r>
                </m:sub>
              </m:sSub>
            </m:oMath>
            <w:r w:rsidR="00EF4C7F" w:rsidRPr="00EA6510">
              <w:t xml:space="preserve"> </w:t>
            </w:r>
          </w:p>
        </w:tc>
        <w:tc>
          <w:tcPr>
            <w:tcW w:w="4921" w:type="dxa"/>
            <w:gridSpan w:val="2"/>
            <w:tcBorders>
              <w:top w:val="nil"/>
              <w:bottom w:val="single" w:sz="12" w:space="0" w:color="008000"/>
            </w:tcBorders>
            <w:shd w:val="clear" w:color="auto" w:fill="FFFFFF"/>
            <w:vAlign w:val="center"/>
          </w:tcPr>
          <w:p w14:paraId="4CC215BC" w14:textId="779A3957" w:rsidR="00EF4C7F" w:rsidRPr="00BD7D43" w:rsidRDefault="00EF4C7F" w:rsidP="00B07970">
            <w:pPr>
              <w:pStyle w:val="CETBodytext"/>
              <w:jc w:val="left"/>
            </w:pPr>
            <w:r w:rsidRPr="00BD7D43">
              <w:t>DSM application time</w:t>
            </w:r>
          </w:p>
        </w:tc>
        <w:tc>
          <w:tcPr>
            <w:tcW w:w="835" w:type="dxa"/>
            <w:gridSpan w:val="2"/>
            <w:tcBorders>
              <w:top w:val="nil"/>
              <w:bottom w:val="single" w:sz="12" w:space="0" w:color="008000"/>
            </w:tcBorders>
            <w:shd w:val="clear" w:color="auto" w:fill="FFFFFF"/>
            <w:vAlign w:val="center"/>
          </w:tcPr>
          <w:p w14:paraId="4CC898D3" w14:textId="782F3CC5" w:rsidR="00EF4C7F" w:rsidRPr="00BD7D43" w:rsidRDefault="00EF4C7F" w:rsidP="00B07970">
            <w:pPr>
              <w:pStyle w:val="CETBodytext"/>
              <w:jc w:val="center"/>
            </w:pPr>
            <w:r w:rsidRPr="00BD7D43">
              <w:t>[h]</w:t>
            </w:r>
          </w:p>
        </w:tc>
        <w:tc>
          <w:tcPr>
            <w:tcW w:w="570" w:type="dxa"/>
            <w:tcBorders>
              <w:top w:val="nil"/>
              <w:bottom w:val="single" w:sz="12" w:space="0" w:color="008000"/>
            </w:tcBorders>
            <w:shd w:val="clear" w:color="auto" w:fill="FFFFFF"/>
            <w:vAlign w:val="center"/>
          </w:tcPr>
          <w:p w14:paraId="469BB416" w14:textId="473B543E" w:rsidR="00EF4C7F" w:rsidRPr="00BD7D43" w:rsidRDefault="00EF4C7F" w:rsidP="00B07970">
            <w:pPr>
              <w:pStyle w:val="CETBodytext"/>
              <w:jc w:val="center"/>
            </w:pPr>
            <w:r w:rsidRPr="00BD7D43">
              <w:t>0</w:t>
            </w:r>
          </w:p>
        </w:tc>
        <w:tc>
          <w:tcPr>
            <w:tcW w:w="701" w:type="dxa"/>
            <w:tcBorders>
              <w:top w:val="nil"/>
              <w:bottom w:val="single" w:sz="12" w:space="0" w:color="008000"/>
            </w:tcBorders>
            <w:shd w:val="clear" w:color="auto" w:fill="FFFFFF"/>
          </w:tcPr>
          <w:p w14:paraId="5E589D3C" w14:textId="1A5BF2F5" w:rsidR="00EF4C7F" w:rsidRPr="00BD7D43" w:rsidRDefault="00EF4C7F" w:rsidP="00B07970">
            <w:pPr>
              <w:pStyle w:val="CETBodytext"/>
              <w:jc w:val="center"/>
            </w:pPr>
            <w:r w:rsidRPr="00BD7D43">
              <w:t>16.</w:t>
            </w:r>
            <w:r w:rsidR="00B51883">
              <w:t>9</w:t>
            </w:r>
          </w:p>
        </w:tc>
      </w:tr>
    </w:tbl>
    <w:p w14:paraId="013311AE" w14:textId="77777777" w:rsidR="00E4233D" w:rsidRPr="00871EF8" w:rsidRDefault="00E4233D" w:rsidP="00871EF8">
      <w:pPr>
        <w:pStyle w:val="CETBodytext"/>
      </w:pPr>
      <w:r w:rsidRPr="0091106B">
        <w:rPr>
          <w:lang w:eastAsia="de-DE"/>
        </w:rPr>
        <w:t xml:space="preserve"> </w:t>
      </w:r>
    </w:p>
    <w:p w14:paraId="42559E0F" w14:textId="694239A2" w:rsidR="00B24F5E" w:rsidRPr="00871EF8" w:rsidRDefault="00B24F5E" w:rsidP="00871EF8">
      <w:pPr>
        <w:pStyle w:val="CETBodytext"/>
      </w:pPr>
      <w:r w:rsidRPr="00871EF8">
        <w:t xml:space="preserve">The steady-state ACM optimization found an optimal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at 209.8</w:t>
      </w:r>
      <w:r w:rsidR="009D0BE1">
        <w:t> %</w:t>
      </w:r>
      <w:r w:rsidRPr="00871EF8">
        <w:t xml:space="preserve">. This means that the process can be switched off for the most expensive 16.254 h of each day. It also means that buffer tanks are sized in a way that they could store in- and outflow substrate during these 16.254 h of switch-off. The investments for the 3.098-time larger process and buffer tank are 286 k€ higher, resulting in an 86 €/d higher </w:t>
      </w:r>
      <m:oMath>
        <m:sSub>
          <m:sSubPr>
            <m:ctrlPr>
              <w:rPr>
                <w:rFonts w:ascii="Cambria Math" w:hAnsi="Cambria Math"/>
              </w:rPr>
            </m:ctrlPr>
          </m:sSubPr>
          <m:e>
            <m:r>
              <w:rPr>
                <w:rFonts w:ascii="Cambria Math" w:hAnsi="Cambria Math"/>
              </w:rPr>
              <m:t>C</m:t>
            </m:r>
          </m:e>
          <m:sub>
            <m:r>
              <w:rPr>
                <w:rFonts w:ascii="Cambria Math" w:hAnsi="Cambria Math"/>
              </w:rPr>
              <m:t>capex</m:t>
            </m:r>
          </m:sub>
        </m:sSub>
      </m:oMath>
      <w:r w:rsidRPr="00871EF8">
        <w:t xml:space="preserve">. At an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of 209.8</w:t>
      </w:r>
      <w:r w:rsidR="009D0BE1">
        <w:t> %</w:t>
      </w:r>
      <w:r w:rsidRPr="00871EF8">
        <w:t xml:space="preserve">., the average yearly electricity costs can be reduced from 0.2408 to 0.1791 €/kWh leading to a reduction of </w:t>
      </w:r>
      <m:oMath>
        <m:sSub>
          <m:sSubPr>
            <m:ctrlPr>
              <w:rPr>
                <w:rFonts w:ascii="Cambria Math" w:hAnsi="Cambria Math"/>
              </w:rPr>
            </m:ctrlPr>
          </m:sSubPr>
          <m:e>
            <m:r>
              <w:rPr>
                <w:rFonts w:ascii="Cambria Math" w:hAnsi="Cambria Math"/>
              </w:rPr>
              <m:t>C</m:t>
            </m:r>
          </m:e>
          <m:sub>
            <m:r>
              <w:rPr>
                <w:rFonts w:ascii="Cambria Math" w:hAnsi="Cambria Math"/>
              </w:rPr>
              <m:t>opex</m:t>
            </m:r>
          </m:sub>
        </m:sSub>
      </m:oMath>
      <w:r w:rsidRPr="00871EF8">
        <w:t xml:space="preserve"> of 178 €/d. The </w:t>
      </w:r>
      <m:oMath>
        <m:sSub>
          <m:sSubPr>
            <m:ctrlPr>
              <w:rPr>
                <w:rFonts w:ascii="Cambria Math" w:hAnsi="Cambria Math"/>
              </w:rPr>
            </m:ctrlPr>
          </m:sSubPr>
          <m:e>
            <m:r>
              <w:rPr>
                <w:rFonts w:ascii="Cambria Math" w:hAnsi="Cambria Math"/>
              </w:rPr>
              <m:t>C</m:t>
            </m:r>
          </m:e>
          <m:sub>
            <m:r>
              <w:rPr>
                <w:rFonts w:ascii="Cambria Math" w:hAnsi="Cambria Math"/>
              </w:rPr>
              <m:t>totex</m:t>
            </m:r>
          </m:sub>
        </m:sSub>
      </m:oMath>
      <w:r w:rsidRPr="00871EF8">
        <w:t xml:space="preserve"> can therefore be reduced from 918 to 821 €/d.</w:t>
      </w:r>
    </w:p>
    <w:p w14:paraId="699D8D13" w14:textId="24F573F0" w:rsidR="00B24F5E" w:rsidRDefault="00B24F5E" w:rsidP="00871EF8">
      <w:pPr>
        <w:pStyle w:val="CETBodytext"/>
      </w:pPr>
      <w:r w:rsidRPr="00871EF8">
        <w:t xml:space="preserve">The goal of the steady-state optimization is to figure out whether DSM implementation seems economically feasible. These results show that this is the case. A more representative dynamic scheduling with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w:t>
      </w:r>
      <w:r w:rsidR="00C01653">
        <w:t>factors</w:t>
      </w:r>
      <w:r w:rsidRPr="00871EF8">
        <w:t xml:space="preserve"> </w:t>
      </w:r>
      <w:proofErr w:type="gramStart"/>
      <w:r w:rsidRPr="00871EF8">
        <w:t>close</w:t>
      </w:r>
      <w:proofErr w:type="gramEnd"/>
      <w:r w:rsidRPr="00871EF8">
        <w:t xml:space="preserve"> to the steady-state optimization results can now be performed for four different </w:t>
      </w:r>
      <m:oMath>
        <m:sSub>
          <m:sSubPr>
            <m:ctrlPr>
              <w:rPr>
                <w:rFonts w:ascii="Cambria Math" w:hAnsi="Cambria Math"/>
              </w:rPr>
            </m:ctrlPr>
          </m:sSubPr>
          <m:e>
            <m:r>
              <w:rPr>
                <w:rFonts w:ascii="Cambria Math" w:hAnsi="Cambria Math"/>
              </w:rPr>
              <m:t>F</m:t>
            </m:r>
          </m:e>
          <m:sub>
            <m:r>
              <w:rPr>
                <w:rFonts w:ascii="Cambria Math" w:hAnsi="Cambria Math"/>
              </w:rPr>
              <m:t>os</m:t>
            </m:r>
          </m:sub>
        </m:sSub>
        <m:r>
          <m:rPr>
            <m:sty m:val="p"/>
          </m:rPr>
          <w:rPr>
            <w:rFonts w:ascii="Cambria Math" w:hAnsi="Cambria Math"/>
          </w:rPr>
          <m:t xml:space="preserve"> </m:t>
        </m:r>
      </m:oMath>
      <w:r w:rsidRPr="00871EF8">
        <w:t xml:space="preserve">factors. </w:t>
      </w:r>
      <w:r w:rsidRPr="00871EF8">
        <w:fldChar w:fldCharType="begin"/>
      </w:r>
      <w:r w:rsidRPr="00871EF8">
        <w:instrText xml:space="preserve"> REF _Ref127792309 \h </w:instrText>
      </w:r>
      <w:r w:rsidR="00871EF8">
        <w:instrText xml:space="preserve"> \* MERGEFORMAT </w:instrText>
      </w:r>
      <w:r w:rsidRPr="00871EF8">
        <w:fldChar w:fldCharType="separate"/>
      </w:r>
      <w:r w:rsidRPr="00871EF8">
        <w:t>Figure 4</w:t>
      </w:r>
      <w:r w:rsidRPr="00871EF8">
        <w:fldChar w:fldCharType="end"/>
      </w:r>
      <w:r w:rsidRPr="00871EF8">
        <w:t xml:space="preserve"> shows the results of the dynamic optimization.</w:t>
      </w:r>
    </w:p>
    <w:p w14:paraId="65DD50AE" w14:textId="766D1F84" w:rsidR="00FB44BA" w:rsidRDefault="00FB44BA" w:rsidP="00871EF8">
      <w:pPr>
        <w:pStyle w:val="CETBodytext"/>
      </w:pPr>
    </w:p>
    <w:p w14:paraId="5EBBAD07" w14:textId="1D5A9825" w:rsidR="000877D8" w:rsidRDefault="008136F7" w:rsidP="008136F7">
      <w:pPr>
        <w:pStyle w:val="CETBodytext"/>
      </w:pPr>
      <w:r w:rsidRPr="008136F7">
        <w:rPr>
          <w:noProof/>
        </w:rPr>
        <w:drawing>
          <wp:inline distT="0" distB="0" distL="0" distR="0" wp14:anchorId="549ED5D8" wp14:editId="2DE1DE2A">
            <wp:extent cx="5579745" cy="1428750"/>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9745" cy="1428750"/>
                    </a:xfrm>
                    <a:prstGeom prst="rect">
                      <a:avLst/>
                    </a:prstGeom>
                  </pic:spPr>
                </pic:pic>
              </a:graphicData>
            </a:graphic>
          </wp:inline>
        </w:drawing>
      </w:r>
    </w:p>
    <w:p w14:paraId="60E9DDCD" w14:textId="2935E809" w:rsidR="000877D8" w:rsidRDefault="000877D8" w:rsidP="000877D8">
      <w:pPr>
        <w:pStyle w:val="CETCaption"/>
      </w:pPr>
      <w:bookmarkStart w:id="26" w:name="_Ref127792309"/>
      <w:r>
        <w:t xml:space="preserve">Figure </w:t>
      </w:r>
      <w:r>
        <w:fldChar w:fldCharType="begin"/>
      </w:r>
      <w:r>
        <w:instrText xml:space="preserve"> SEQ Figure \* ARABIC </w:instrText>
      </w:r>
      <w:r>
        <w:fldChar w:fldCharType="separate"/>
      </w:r>
      <w:r w:rsidR="0070417C">
        <w:rPr>
          <w:noProof/>
        </w:rPr>
        <w:t>4</w:t>
      </w:r>
      <w:r>
        <w:fldChar w:fldCharType="end"/>
      </w:r>
      <w:bookmarkEnd w:id="26"/>
      <w:r>
        <w:t>: O</w:t>
      </w:r>
      <w:r w:rsidRPr="0007706D">
        <w:t xml:space="preserve">ptimized schedule of input flow </w:t>
      </w:r>
      <w:r>
        <w:t>(</w:t>
      </w:r>
      <w:r w:rsidR="008136F7">
        <w:t>a</w:t>
      </w:r>
      <w:r>
        <w:t xml:space="preserve">) and </w:t>
      </w:r>
      <w:r w:rsidRPr="0007706D">
        <w:t xml:space="preserve">resulting </w:t>
      </w:r>
      <w:r w:rsidR="00926258">
        <w:t>minimum total costs per day</w:t>
      </w:r>
      <w:r w:rsidRPr="0007706D">
        <w:t xml:space="preserve"> </w:t>
      </w:r>
      <w:r>
        <w:t>(</w:t>
      </w:r>
      <w:r w:rsidR="008136F7">
        <w:t>a</w:t>
      </w:r>
      <w:r>
        <w:t>)</w:t>
      </w:r>
      <w:r w:rsidRPr="000877D8">
        <w:t xml:space="preserve"> </w:t>
      </w:r>
      <w:r w:rsidRPr="0007706D">
        <w:t xml:space="preserve">for four different </w:t>
      </w:r>
      <w:r w:rsidR="00674263">
        <w:t xml:space="preserve">oversizing </w:t>
      </w:r>
      <w:r w:rsidRPr="0007706D">
        <w:t>factors</w:t>
      </w:r>
      <w:r>
        <w:t>.</w:t>
      </w:r>
    </w:p>
    <w:p w14:paraId="44759377" w14:textId="182AC845" w:rsidR="00B6109B" w:rsidRPr="00871EF8" w:rsidRDefault="009D0BE1" w:rsidP="00871EF8">
      <w:pPr>
        <w:pStyle w:val="CETBodytext"/>
      </w:pPr>
      <w:r>
        <w:lastRenderedPageBreak/>
        <w:fldChar w:fldCharType="begin"/>
      </w:r>
      <w:r>
        <w:instrText xml:space="preserve"> REF _Ref127792309 \h </w:instrText>
      </w:r>
      <w:r>
        <w:fldChar w:fldCharType="separate"/>
      </w:r>
      <w:r>
        <w:t xml:space="preserve">Figure </w:t>
      </w:r>
      <w:r>
        <w:rPr>
          <w:noProof/>
        </w:rPr>
        <w:t>4</w:t>
      </w:r>
      <w:r>
        <w:fldChar w:fldCharType="end"/>
      </w:r>
      <w:r>
        <w:t xml:space="preserve">a </w:t>
      </w:r>
      <w:proofErr w:type="gramStart"/>
      <w:r w:rsidR="00B6109B" w:rsidRPr="00871EF8">
        <w:t>shows</w:t>
      </w:r>
      <w:proofErr w:type="gramEnd"/>
      <w:r w:rsidR="00B6109B" w:rsidRPr="00871EF8">
        <w:t xml:space="preserve"> the optimized schedule of input flow in t/h for the four different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6109B" w:rsidRPr="00871EF8">
        <w:t xml:space="preserve"> factors. For an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6109B" w:rsidRPr="00871EF8">
        <w:t xml:space="preserve"> of 200</w:t>
      </w:r>
      <w:r>
        <w:t> %</w:t>
      </w:r>
      <w:r w:rsidR="00B6109B" w:rsidRPr="00871EF8">
        <w:t xml:space="preserve">, closest to the steady-state optimization, there is a high operation flow of the decanter centrifuge at the beginning and end of the day and a peak operational flow at midday when the electricity prices are low. The whole process is switched off for 16 hours on the examined day. The resulting </w:t>
      </w:r>
      <m:oMath>
        <m:sSub>
          <m:sSubPr>
            <m:ctrlPr>
              <w:rPr>
                <w:rFonts w:ascii="Cambria Math" w:hAnsi="Cambria Math"/>
              </w:rPr>
            </m:ctrlPr>
          </m:sSubPr>
          <m:e>
            <m:r>
              <w:rPr>
                <w:rFonts w:ascii="Cambria Math" w:hAnsi="Cambria Math"/>
              </w:rPr>
              <m:t>C</m:t>
            </m:r>
          </m:e>
          <m:sub>
            <m:r>
              <w:rPr>
                <w:rFonts w:ascii="Cambria Math" w:hAnsi="Cambria Math"/>
              </w:rPr>
              <m:t>totex</m:t>
            </m:r>
          </m:sub>
        </m:sSub>
        <m:r>
          <m:rPr>
            <m:sty m:val="p"/>
          </m:rPr>
          <w:rPr>
            <w:rFonts w:ascii="Cambria Math" w:hAnsi="Cambria Math"/>
          </w:rPr>
          <m:t xml:space="preserve"> </m:t>
        </m:r>
      </m:oMath>
      <w:r w:rsidR="00B6109B" w:rsidRPr="00871EF8">
        <w:t xml:space="preserve">value is shown in the </w:t>
      </w:r>
      <w:r>
        <w:fldChar w:fldCharType="begin"/>
      </w:r>
      <w:r>
        <w:instrText xml:space="preserve"> REF _Ref127792309 \h </w:instrText>
      </w:r>
      <w:r>
        <w:fldChar w:fldCharType="separate"/>
      </w:r>
      <w:r>
        <w:t xml:space="preserve">Figure </w:t>
      </w:r>
      <w:r>
        <w:rPr>
          <w:noProof/>
        </w:rPr>
        <w:t>4</w:t>
      </w:r>
      <w:r>
        <w:fldChar w:fldCharType="end"/>
      </w:r>
      <w:r>
        <w:t>b</w:t>
      </w:r>
      <w:r w:rsidR="00B6109B" w:rsidRPr="00871EF8">
        <w:t xml:space="preserve">. The reference value from the steady-state optimization - 821 €/d - is represented by the black bar on the far left. The value of the dynamic optimization with an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B6109B" w:rsidRPr="00871EF8">
        <w:t xml:space="preserve"> of 200</w:t>
      </w:r>
      <w:r>
        <w:t> %</w:t>
      </w:r>
      <w:r w:rsidR="00B6109B" w:rsidRPr="00871EF8">
        <w:t xml:space="preserve"> and </w:t>
      </w:r>
      <m:oMath>
        <m:sSub>
          <m:sSubPr>
            <m:ctrlPr>
              <w:rPr>
                <w:rFonts w:ascii="Cambria Math" w:hAnsi="Cambria Math"/>
              </w:rPr>
            </m:ctrlPr>
          </m:sSubPr>
          <m:e>
            <m:r>
              <w:rPr>
                <w:rFonts w:ascii="Cambria Math" w:hAnsi="Cambria Math"/>
              </w:rPr>
              <m:t>t</m:t>
            </m:r>
          </m:e>
          <m:sub>
            <m:r>
              <w:rPr>
                <w:rFonts w:ascii="Cambria Math" w:hAnsi="Cambria Math"/>
              </w:rPr>
              <m:t>app</m:t>
            </m:r>
          </m:sub>
        </m:sSub>
        <m:r>
          <m:rPr>
            <m:sty m:val="p"/>
          </m:rPr>
          <w:rPr>
            <w:rFonts w:ascii="Cambria Math" w:hAnsi="Cambria Math"/>
          </w:rPr>
          <m:t xml:space="preserve"> </m:t>
        </m:r>
      </m:oMath>
      <w:r w:rsidR="00B6109B" w:rsidRPr="00871EF8">
        <w:t xml:space="preserve">of 16 h is significantly higher at 831 €/d.  </w:t>
      </w:r>
    </w:p>
    <w:p w14:paraId="0862FFE6" w14:textId="717D026A" w:rsidR="00E4233D" w:rsidRPr="004D181A" w:rsidRDefault="00B6109B" w:rsidP="00871EF8">
      <w:pPr>
        <w:pStyle w:val="CETBodytext"/>
        <w:rPr>
          <w:lang w:eastAsia="de-DE"/>
        </w:rPr>
      </w:pPr>
      <w:r w:rsidRPr="00871EF8">
        <w:t>The same scheduling optimization was performed for 150</w:t>
      </w:r>
      <w:r w:rsidR="009D0BE1">
        <w:t> %</w:t>
      </w:r>
      <w:r w:rsidRPr="00871EF8">
        <w:t>, 100</w:t>
      </w:r>
      <w:r w:rsidR="009D0BE1">
        <w:t> %</w:t>
      </w:r>
      <w:r w:rsidRPr="00871EF8">
        <w:t>, and 75</w:t>
      </w:r>
      <w:r w:rsidR="009D0BE1">
        <w:t> %</w:t>
      </w:r>
      <w:r w:rsidRPr="00871EF8">
        <w:t xml:space="preserve"> oversizing. The input flow, which tends to occur in the favorable morning and evening hours and also develops a peak during midday, which can again be seen in </w:t>
      </w:r>
      <w:r w:rsidR="009D0BE1">
        <w:fldChar w:fldCharType="begin"/>
      </w:r>
      <w:r w:rsidR="009D0BE1">
        <w:instrText xml:space="preserve"> REF _Ref127792309 \h </w:instrText>
      </w:r>
      <w:r w:rsidR="009D0BE1">
        <w:fldChar w:fldCharType="separate"/>
      </w:r>
      <w:r w:rsidR="009D0BE1">
        <w:t xml:space="preserve">Figure </w:t>
      </w:r>
      <w:r w:rsidR="009D0BE1">
        <w:rPr>
          <w:noProof/>
        </w:rPr>
        <w:t>4</w:t>
      </w:r>
      <w:r w:rsidR="009D0BE1">
        <w:fldChar w:fldCharType="end"/>
      </w:r>
      <w:r w:rsidR="009D0BE1">
        <w:t>a</w:t>
      </w:r>
      <w:r w:rsidRPr="00871EF8">
        <w:t xml:space="preserve">. The bar diagram in the </w:t>
      </w:r>
      <w:r w:rsidR="009D0BE1">
        <w:fldChar w:fldCharType="begin"/>
      </w:r>
      <w:r w:rsidR="009D0BE1">
        <w:instrText xml:space="preserve"> REF _Ref127792309 \h </w:instrText>
      </w:r>
      <w:r w:rsidR="009D0BE1">
        <w:fldChar w:fldCharType="separate"/>
      </w:r>
      <w:r w:rsidR="009D0BE1">
        <w:t xml:space="preserve">Figure </w:t>
      </w:r>
      <w:r w:rsidR="009D0BE1">
        <w:rPr>
          <w:noProof/>
        </w:rPr>
        <w:t>4</w:t>
      </w:r>
      <w:r w:rsidR="009D0BE1">
        <w:fldChar w:fldCharType="end"/>
      </w:r>
      <w:r w:rsidR="009D0BE1">
        <w:t>b</w:t>
      </w:r>
      <w:r w:rsidR="009D0BE1" w:rsidRPr="00871EF8">
        <w:t xml:space="preserve"> </w:t>
      </w:r>
      <w:r w:rsidRPr="00871EF8">
        <w:t xml:space="preserve">represents the </w:t>
      </w:r>
      <m:oMath>
        <m:sSub>
          <m:sSubPr>
            <m:ctrlPr>
              <w:rPr>
                <w:rFonts w:ascii="Cambria Math" w:hAnsi="Cambria Math"/>
              </w:rPr>
            </m:ctrlPr>
          </m:sSubPr>
          <m:e>
            <m:r>
              <w:rPr>
                <w:rFonts w:ascii="Cambria Math" w:hAnsi="Cambria Math"/>
              </w:rPr>
              <m:t>C</m:t>
            </m:r>
          </m:e>
          <m:sub>
            <m:r>
              <w:rPr>
                <w:rFonts w:ascii="Cambria Math" w:hAnsi="Cambria Math"/>
              </w:rPr>
              <m:t>totex</m:t>
            </m:r>
          </m:sub>
        </m:sSub>
        <m:r>
          <m:rPr>
            <m:sty m:val="p"/>
          </m:rPr>
          <w:rPr>
            <w:rFonts w:ascii="Cambria Math" w:hAnsi="Cambria Math"/>
          </w:rPr>
          <m:t xml:space="preserve"> </m:t>
        </m:r>
      </m:oMath>
      <w:r w:rsidRPr="00871EF8">
        <w:t xml:space="preserve"> values of the respective dynamic optimization. The resulting values for </w:t>
      </w:r>
      <m:oMath>
        <m:sSub>
          <m:sSubPr>
            <m:ctrlPr>
              <w:rPr>
                <w:rFonts w:ascii="Cambria Math" w:hAnsi="Cambria Math"/>
              </w:rPr>
            </m:ctrlPr>
          </m:sSubPr>
          <m:e>
            <m:r>
              <w:rPr>
                <w:rFonts w:ascii="Cambria Math" w:hAnsi="Cambria Math"/>
              </w:rPr>
              <m:t>C</m:t>
            </m:r>
          </m:e>
          <m:sub>
            <m:r>
              <w:rPr>
                <w:rFonts w:ascii="Cambria Math" w:hAnsi="Cambria Math"/>
              </w:rPr>
              <m:t>totex</m:t>
            </m:r>
          </m:sub>
        </m:sSub>
      </m:oMath>
      <w:r w:rsidRPr="00871EF8">
        <w:t xml:space="preserve"> are lower for all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Pr="00871EF8">
        <w:t xml:space="preserve"> factors than those for 200</w:t>
      </w:r>
      <w:r w:rsidR="009D0BE1">
        <w:t> %</w:t>
      </w:r>
      <w:r w:rsidRPr="00871EF8">
        <w:t xml:space="preserve">, where optimal oversizing was initially assumed. The lowest value is obtained with an </w:t>
      </w:r>
      <m:oMath>
        <m:sSub>
          <m:sSubPr>
            <m:ctrlPr>
              <w:rPr>
                <w:rFonts w:ascii="Cambria Math" w:hAnsi="Cambria Math"/>
              </w:rPr>
            </m:ctrlPr>
          </m:sSubPr>
          <m:e>
            <m:r>
              <w:rPr>
                <w:rFonts w:ascii="Cambria Math" w:hAnsi="Cambria Math"/>
              </w:rPr>
              <m:t>F</m:t>
            </m:r>
          </m:e>
          <m:sub>
            <m:r>
              <w:rPr>
                <w:rFonts w:ascii="Cambria Math" w:hAnsi="Cambria Math"/>
              </w:rPr>
              <m:t>os</m:t>
            </m:r>
          </m:sub>
        </m:sSub>
      </m:oMath>
      <w:r w:rsidR="009D0BE1" w:rsidRPr="00871EF8">
        <w:t xml:space="preserve"> </w:t>
      </w:r>
      <w:r w:rsidRPr="00871EF8">
        <w:t xml:space="preserve"> of 100</w:t>
      </w:r>
      <w:r w:rsidR="009D0BE1">
        <w:t> %</w:t>
      </w:r>
      <w:r w:rsidRPr="00871EF8">
        <w:t>. This more realistic perspective on the dynamic scheduling problem explains the differences between steady-state and dynamic oversizing. In the steady-state simulation, the switch-on and off times of the processes were not considered. This means that the buffer tanks are even more significant than when immediate switch-off is assumed. The dynamic investigation also introduces a certain inertia into the process. As a result, power is still consumed during switch-on and switch-off, which may fall into non-optimal electricity price periods. Considering hourly intervals also allows for a less precise switch-off time than would be the case with quarter-hourly intervals or even higher time discretization</w:t>
      </w:r>
      <w:r w:rsidRPr="00104C5E">
        <w:rPr>
          <w:lang w:eastAsia="de-DE"/>
        </w:rPr>
        <w:t>.</w:t>
      </w:r>
    </w:p>
    <w:p w14:paraId="6A5BC5E2" w14:textId="4D1D34AB" w:rsidR="00E4233D" w:rsidRPr="0099404B" w:rsidRDefault="007105BC" w:rsidP="00F42D02">
      <w:pPr>
        <w:pStyle w:val="CETHeading1"/>
      </w:pPr>
      <w:bookmarkStart w:id="27" w:name="_Toc127531182"/>
      <w:bookmarkStart w:id="28" w:name="_Toc127779442"/>
      <w:r>
        <w:t xml:space="preserve">Conclusion and </w:t>
      </w:r>
      <w:bookmarkEnd w:id="27"/>
      <w:bookmarkEnd w:id="28"/>
      <w:r w:rsidR="00384B93">
        <w:t>Outlook</w:t>
      </w:r>
    </w:p>
    <w:p w14:paraId="45496852" w14:textId="73BDD7F5" w:rsidR="00962A26" w:rsidRDefault="00962A26" w:rsidP="00D70914">
      <w:pPr>
        <w:pStyle w:val="CETBodytext"/>
      </w:pPr>
      <w:r>
        <w:t xml:space="preserve">In this contribution a previously developed </w:t>
      </w:r>
      <w:r w:rsidR="00EF0706">
        <w:t>decision support tool</w:t>
      </w:r>
      <w:r>
        <w:t xml:space="preserve"> to calculate the economic </w:t>
      </w:r>
      <w:r w:rsidR="00674263">
        <w:t>demand side management</w:t>
      </w:r>
      <w:r>
        <w:t xml:space="preserve"> potential of a process is applied to a decanter centrifuge. </w:t>
      </w:r>
      <w:r w:rsidR="00B658B2">
        <w:t>The results presented above show that</w:t>
      </w:r>
      <w:r>
        <w:t xml:space="preserve"> the </w:t>
      </w:r>
      <w:r w:rsidR="00EF0706">
        <w:t>decision support tool</w:t>
      </w:r>
      <w:r>
        <w:t xml:space="preserve"> to optimize steady-state economic </w:t>
      </w:r>
      <w:r w:rsidR="00674263">
        <w:t xml:space="preserve">demand side management </w:t>
      </w:r>
      <w:r>
        <w:t xml:space="preserve">feasibility can also be used for the </w:t>
      </w:r>
      <w:r>
        <w:rPr>
          <w:noProof/>
        </w:rPr>
        <w:t>optimization of dynamic system operation. The</w:t>
      </w:r>
      <w:r w:rsidRPr="00A9409D">
        <w:rPr>
          <w:noProof/>
        </w:rPr>
        <w:t xml:space="preserve"> </w:t>
      </w:r>
      <w:r>
        <w:rPr>
          <w:noProof/>
        </w:rPr>
        <w:t>steady-state</w:t>
      </w:r>
      <w:r w:rsidRPr="00A9409D">
        <w:rPr>
          <w:noProof/>
        </w:rPr>
        <w:t xml:space="preserve"> optimization </w:t>
      </w:r>
      <w:r>
        <w:rPr>
          <w:noProof/>
        </w:rPr>
        <w:t>determines</w:t>
      </w:r>
      <w:r w:rsidRPr="00A9409D">
        <w:rPr>
          <w:noProof/>
        </w:rPr>
        <w:t xml:space="preserve"> the dimensioning of the process and the upstream and downstream buffer tanks</w:t>
      </w:r>
      <w:r>
        <w:rPr>
          <w:noProof/>
        </w:rPr>
        <w:t>. For known dimension</w:t>
      </w:r>
      <w:r w:rsidR="009E1731">
        <w:rPr>
          <w:noProof/>
        </w:rPr>
        <w:t>s,</w:t>
      </w:r>
      <w:r>
        <w:rPr>
          <w:noProof/>
        </w:rPr>
        <w:t xml:space="preserve"> the d</w:t>
      </w:r>
      <w:r w:rsidRPr="00A9409D">
        <w:rPr>
          <w:noProof/>
        </w:rPr>
        <w:t xml:space="preserve">ynamic optimization </w:t>
      </w:r>
      <w:r>
        <w:rPr>
          <w:noProof/>
        </w:rPr>
        <w:t xml:space="preserve">can then </w:t>
      </w:r>
      <w:r w:rsidRPr="00A9409D">
        <w:rPr>
          <w:noProof/>
        </w:rPr>
        <w:t xml:space="preserve">provide a more realistic view of a </w:t>
      </w:r>
      <w:r w:rsidR="00674263">
        <w:t xml:space="preserve">demand side management </w:t>
      </w:r>
      <w:r w:rsidRPr="00A9409D">
        <w:rPr>
          <w:noProof/>
        </w:rPr>
        <w:t>operation by taking start-up and switch-off times into account.</w:t>
      </w:r>
      <w:r w:rsidR="00D70914" w:rsidRPr="00D70914">
        <w:t xml:space="preserve"> </w:t>
      </w:r>
    </w:p>
    <w:p w14:paraId="002E9785" w14:textId="119513E3" w:rsidR="00D70914" w:rsidRPr="00D70914" w:rsidRDefault="001F3B91" w:rsidP="00D70914">
      <w:pPr>
        <w:pStyle w:val="CETBodytext"/>
      </w:pPr>
      <w:r>
        <w:t>Using the example of a downstream separation unit in the production of biomethane showed that</w:t>
      </w:r>
      <w:r w:rsidR="00384B93">
        <w:t xml:space="preserve"> </w:t>
      </w:r>
      <w:r w:rsidR="0070417C">
        <w:t>steady-state</w:t>
      </w:r>
      <w:r w:rsidR="00D70914" w:rsidRPr="00D70914">
        <w:t xml:space="preserve"> optimization can be performed with exact values of 209.8</w:t>
      </w:r>
      <w:r w:rsidR="009D0BE1">
        <w:t> %</w:t>
      </w:r>
      <w:r w:rsidR="00D70914" w:rsidRPr="00D70914">
        <w:t xml:space="preserve"> oversizing and a switch-off time of 16.254 hours. From a plant operator's point of view, this may need to be clarified since oversizing with such accuracy will not be possible. However, trends can be deduced through further investigations with known initial variables.  </w:t>
      </w:r>
    </w:p>
    <w:p w14:paraId="02B5F582" w14:textId="76E47882" w:rsidR="00D70914" w:rsidRPr="00D70914" w:rsidRDefault="00D70914" w:rsidP="00D70914">
      <w:pPr>
        <w:pStyle w:val="CETBodytext"/>
      </w:pPr>
      <w:r w:rsidRPr="00D70914">
        <w:t xml:space="preserve">The same analysis was performed </w:t>
      </w:r>
      <w:r w:rsidR="001F3B91">
        <w:t>using dynamic optimization to incorporate optimal operation</w:t>
      </w:r>
      <w:r w:rsidRPr="00D70914">
        <w:t xml:space="preserve">. In this way, a more realistic operation of the process could be considered: start-up and switch-off times were considered, and a realistic oversizing increment was given. The </w:t>
      </w:r>
      <w:r w:rsidR="00674263">
        <w:t>value of total expenditure per year</w:t>
      </w:r>
      <w:r w:rsidRPr="00D70914">
        <w:t xml:space="preserve"> was not further minimized, but the initial theoretical consideration of oversizing is reflected. An optimal scheduling could be found for different oversizing factors with the dynamic investigation. A new ideal oversizing was found at 100</w:t>
      </w:r>
      <w:r w:rsidR="009D0BE1">
        <w:t> %</w:t>
      </w:r>
      <w:r w:rsidRPr="00D70914">
        <w:t xml:space="preserve">.  </w:t>
      </w:r>
    </w:p>
    <w:p w14:paraId="7D61B1FE" w14:textId="3654618B" w:rsidR="00D70914" w:rsidRPr="00D70914" w:rsidRDefault="009E1731" w:rsidP="00D70914">
      <w:pPr>
        <w:pStyle w:val="CETBodytext"/>
      </w:pPr>
      <w:r>
        <w:rPr>
          <w:rFonts w:eastAsia="Arial" w:cs="Arial"/>
          <w:color w:val="000000"/>
          <w:szCs w:val="18"/>
        </w:rPr>
        <w:t xml:space="preserve">The next conceivable step would be to consider </w:t>
      </w:r>
      <w:sdt>
        <w:sdtPr>
          <w:tag w:val="goog_rdk_109"/>
          <w:id w:val="-1681275184"/>
        </w:sdtPr>
        <w:sdtEndPr/>
        <w:sdtContent>
          <w:r>
            <w:rPr>
              <w:rFonts w:eastAsia="Arial" w:cs="Arial"/>
              <w:color w:val="000000"/>
              <w:szCs w:val="18"/>
            </w:rPr>
            <w:t xml:space="preserve">sample days, rather than </w:t>
          </w:r>
        </w:sdtContent>
      </w:sdt>
      <w:r>
        <w:rPr>
          <w:rFonts w:eastAsia="Arial" w:cs="Arial"/>
          <w:color w:val="000000"/>
          <w:szCs w:val="18"/>
        </w:rPr>
        <w:t>average values,</w:t>
      </w:r>
      <w:r w:rsidRPr="00D70914">
        <w:t xml:space="preserve"> </w:t>
      </w:r>
      <w:r w:rsidR="00D70914" w:rsidRPr="00D70914">
        <w:t xml:space="preserve">with actual electricity prices </w:t>
      </w:r>
      <w:r w:rsidR="001F3B91">
        <w:t>and</w:t>
      </w:r>
      <w:r w:rsidR="001F3B91" w:rsidRPr="00D70914">
        <w:t xml:space="preserve"> </w:t>
      </w:r>
      <w:r w:rsidR="00D70914" w:rsidRPr="00D70914">
        <w:t>different price profiles</w:t>
      </w:r>
      <w:r>
        <w:t xml:space="preserve"> accounted for</w:t>
      </w:r>
      <w:r w:rsidR="00D70914" w:rsidRPr="00D70914">
        <w:t xml:space="preserve">. Thus, </w:t>
      </w:r>
      <w:r w:rsidR="00674263">
        <w:t xml:space="preserve">demand side management </w:t>
      </w:r>
      <w:r>
        <w:t xml:space="preserve">strategies </w:t>
      </w:r>
      <w:r w:rsidR="00D70914" w:rsidRPr="00D70914">
        <w:t xml:space="preserve">could be examined on days with peak and flat electricity price </w:t>
      </w:r>
      <w:r>
        <w:t>rates</w:t>
      </w:r>
      <w:r w:rsidR="00D70914" w:rsidRPr="00D70914">
        <w:t xml:space="preserve">. </w:t>
      </w:r>
      <w:r w:rsidR="0038016F">
        <w:t>Furthermore, because t</w:t>
      </w:r>
      <w:r w:rsidR="00D70914" w:rsidRPr="00D70914">
        <w:t>he decanter is located in the middle of a separation cascade</w:t>
      </w:r>
      <w:r w:rsidR="0038016F">
        <w:t>, future</w:t>
      </w:r>
      <w:r w:rsidR="00D70914" w:rsidRPr="00D70914">
        <w:t xml:space="preserve"> investigations of the use of </w:t>
      </w:r>
      <w:r w:rsidR="00674263">
        <w:t xml:space="preserve">demand side management </w:t>
      </w:r>
      <w:r w:rsidR="00D70914" w:rsidRPr="00D70914">
        <w:t>in biorefineries will consider the effects of a flexible cascade. The aim is not to study just one process but the interactions of processes</w:t>
      </w:r>
      <w:r w:rsidR="0038016F">
        <w:t>’</w:t>
      </w:r>
      <w:r w:rsidR="00D70914" w:rsidRPr="00D70914">
        <w:t xml:space="preserve"> </w:t>
      </w:r>
      <w:r w:rsidR="00B56578">
        <w:t xml:space="preserve">flexibility </w:t>
      </w:r>
      <w:r w:rsidR="001F3B91">
        <w:t xml:space="preserve">with </w:t>
      </w:r>
      <w:r w:rsidR="00B56578">
        <w:t>a dynamic simulation approach</w:t>
      </w:r>
      <w:r w:rsidR="00D70914" w:rsidRPr="00D70914">
        <w:t xml:space="preserve">. The goal is to save further costs on buffer storage by simultaneously switching processes on and off in a cascade of separation processing. This type of indirect DSM causes a reconsideration of the flexibilization of processes initially considered unsuitable for flexible operation. </w:t>
      </w:r>
    </w:p>
    <w:p w14:paraId="3F958C21" w14:textId="5107AA0E" w:rsidR="00640147" w:rsidRPr="00640147" w:rsidRDefault="00E4233D" w:rsidP="00131B53">
      <w:pPr>
        <w:pStyle w:val="CETReference"/>
        <w:rPr>
          <w:lang w:val="en-US"/>
        </w:rPr>
      </w:pPr>
      <w:r w:rsidRPr="00D52ECD">
        <w:fldChar w:fldCharType="begin"/>
      </w:r>
      <w:r w:rsidR="00640147">
        <w:instrText>ADDIN CITAVI.BIBLIOGRAPHY PD94bWwgdmVyc2lvbj0iMS4wIiBlbmNvZGluZz0idXRmLTE2Ij8+PEJpYmxpb2dyYXBoeT48QWRkSW5WZXJzaW9uPjUuNy4wLjA8L0FkZEluVmVyc2lvbj48SWQ+Mjc5ZGU5OTQtNTUxMi00OTgxLWE2OGQtYzE1MzExZDQ5MzJi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</w:instrText>
      </w:r>
      <w:r w:rsidR="00640147" w:rsidRPr="00640147">
        <w:rPr>
          <w:lang w:val="en-US"/>
        </w:rPr>
        <w:instrText>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</w:instrText>
      </w:r>
      <w:r w:rsidRPr="00D52ECD">
        <w:fldChar w:fldCharType="separate"/>
      </w:r>
      <w:bookmarkStart w:id="29" w:name="_CTVBIBLIOGRAPHY1"/>
      <w:bookmarkEnd w:id="29"/>
      <w:r w:rsidR="00640147" w:rsidRPr="00640147">
        <w:rPr>
          <w:lang w:val="en-US"/>
        </w:rPr>
        <w:t>Publication bibliography</w:t>
      </w:r>
    </w:p>
    <w:p w14:paraId="005E4090" w14:textId="3EEF6026" w:rsidR="00640147" w:rsidRPr="00640147" w:rsidRDefault="00640147" w:rsidP="00131B53">
      <w:pPr>
        <w:pStyle w:val="CETReferencetext"/>
        <w:rPr>
          <w:lang w:val="en-US"/>
        </w:rPr>
      </w:pPr>
      <w:bookmarkStart w:id="30" w:name="_CTVL00181b24feaeee14989b23f7e360cea14be"/>
      <w:r w:rsidRPr="00640147">
        <w:rPr>
          <w:lang w:val="en-US"/>
        </w:rPr>
        <w:t xml:space="preserve">Etzold, Hendrik; Röder, Lilli Sophia; Oehmichen, Katja; Nitzsche, Roy (2023): Technical design, economic and environmental assessment of a biorefinery concept for the integration of biomethane and hydrogen into the transport sector. In </w:t>
      </w:r>
      <w:bookmarkEnd w:id="30"/>
      <w:r w:rsidRPr="00640147">
        <w:rPr>
          <w:i/>
          <w:lang w:val="en-US"/>
        </w:rPr>
        <w:t>Bioresource Technology Report</w:t>
      </w:r>
      <w:r w:rsidR="00872547">
        <w:rPr>
          <w:i/>
          <w:lang w:val="en-US"/>
        </w:rPr>
        <w:t>s, Vol.22</w:t>
      </w:r>
      <w:r w:rsidRPr="00640147">
        <w:rPr>
          <w:lang w:val="en-US"/>
        </w:rPr>
        <w:t>.</w:t>
      </w:r>
      <w:r w:rsidR="00872547">
        <w:rPr>
          <w:lang w:val="en-US"/>
        </w:rPr>
        <w:t xml:space="preserve">, </w:t>
      </w:r>
      <w:r w:rsidR="00872547" w:rsidRPr="00872547">
        <w:rPr>
          <w:i/>
          <w:lang w:val="en-US"/>
        </w:rPr>
        <w:t xml:space="preserve">Article </w:t>
      </w:r>
      <w:r w:rsidR="00872547" w:rsidRPr="00872547">
        <w:rPr>
          <w:i/>
        </w:rPr>
        <w:t>101476</w:t>
      </w:r>
      <w:r w:rsidR="006F336D">
        <w:rPr>
          <w:i/>
        </w:rPr>
        <w:t xml:space="preserve">. </w:t>
      </w:r>
      <w:hyperlink r:id="rId18" w:tgtFrame="_blank" w:tooltip="Persistent link using digital object identifier" w:history="1">
        <w:r w:rsidR="00C90354">
          <w:rPr>
            <w:rStyle w:val="anchor-text"/>
            <w:color w:val="0000FF"/>
            <w:u w:val="single"/>
          </w:rPr>
          <w:t xml:space="preserve">DOI: </w:t>
        </w:r>
        <w:bookmarkStart w:id="31" w:name="_GoBack"/>
        <w:bookmarkEnd w:id="31"/>
        <w:r w:rsidR="006F336D">
          <w:rPr>
            <w:rStyle w:val="anchor-text"/>
            <w:color w:val="0000FF"/>
            <w:u w:val="single"/>
          </w:rPr>
          <w:t>10.1016/j.biteb.2023.101476</w:t>
        </w:r>
      </w:hyperlink>
    </w:p>
    <w:p w14:paraId="2EA80E06" w14:textId="7905B52D" w:rsidR="00640147" w:rsidRPr="00640147" w:rsidRDefault="00640147" w:rsidP="00131B53">
      <w:pPr>
        <w:pStyle w:val="CETReferencetext"/>
        <w:rPr>
          <w:lang w:val="en-US"/>
        </w:rPr>
      </w:pPr>
      <w:bookmarkStart w:id="32" w:name="_CTVL001c054a9af9a9344279dccdefa9326a629"/>
      <w:r w:rsidRPr="00640147">
        <w:rPr>
          <w:lang w:val="en-US"/>
        </w:rPr>
        <w:t xml:space="preserve">Martin Dotzauer: German power market database toolbox / gpm_dbtb · GitLab. Available online at https://gitlab.com/M.Dotzauer/gpm_dbtb, </w:t>
      </w:r>
      <w:r w:rsidR="00872547" w:rsidRPr="006B4888">
        <w:t>accessed</w:t>
      </w:r>
      <w:r w:rsidRPr="00640147">
        <w:rPr>
          <w:lang w:val="en-US"/>
        </w:rPr>
        <w:t xml:space="preserve"> </w:t>
      </w:r>
      <w:r w:rsidR="00872547">
        <w:rPr>
          <w:lang w:val="en-US"/>
        </w:rPr>
        <w:t>24.08.</w:t>
      </w:r>
      <w:r w:rsidRPr="00640147">
        <w:rPr>
          <w:lang w:val="en-US"/>
        </w:rPr>
        <w:t>2022.</w:t>
      </w:r>
    </w:p>
    <w:p w14:paraId="5E75C257" w14:textId="5DB5D0EC" w:rsidR="00640147" w:rsidRPr="00640147" w:rsidRDefault="00640147" w:rsidP="00131B53">
      <w:pPr>
        <w:pStyle w:val="CETReferencetext"/>
        <w:rPr>
          <w:lang w:val="en-US"/>
        </w:rPr>
      </w:pPr>
      <w:bookmarkStart w:id="33" w:name="_CTVL0013e8360c2aeb74321ab3e56bd8778301f"/>
      <w:bookmarkStart w:id="34" w:name="_Hlk134453832"/>
      <w:bookmarkEnd w:id="32"/>
      <w:r w:rsidRPr="00640147">
        <w:rPr>
          <w:lang w:val="en-US"/>
        </w:rPr>
        <w:t xml:space="preserve">Röder, Lilli Sophia; Gröngröft, Arne; Etzold, Hendrik; Grünewald, Marcus; Riese, Julia (2023): </w:t>
      </w:r>
      <w:r w:rsidR="00EF0706">
        <w:rPr>
          <w:lang w:val="en-US"/>
        </w:rPr>
        <w:t>Decision support tool</w:t>
      </w:r>
      <w:r w:rsidRPr="00640147">
        <w:rPr>
          <w:lang w:val="en-US"/>
        </w:rPr>
        <w:t xml:space="preserve"> to evaluate the economic demand side management potential in continuous industrial processes  - a biorefinery case study. In</w:t>
      </w:r>
      <w:r w:rsidR="00872547">
        <w:rPr>
          <w:lang w:val="en-US"/>
        </w:rPr>
        <w:t xml:space="preserve"> Chemical Engineering Science</w:t>
      </w:r>
      <w:r w:rsidRPr="00640147">
        <w:rPr>
          <w:lang w:val="en-US"/>
        </w:rPr>
        <w:t xml:space="preserve"> </w:t>
      </w:r>
      <w:bookmarkEnd w:id="33"/>
      <w:r w:rsidRPr="00640147">
        <w:rPr>
          <w:i/>
          <w:lang w:val="en-US"/>
        </w:rPr>
        <w:t>(</w:t>
      </w:r>
      <w:r w:rsidR="00872547" w:rsidRPr="00640147">
        <w:rPr>
          <w:i/>
          <w:lang w:val="en-US"/>
        </w:rPr>
        <w:t>under review</w:t>
      </w:r>
      <w:r w:rsidRPr="00640147">
        <w:rPr>
          <w:i/>
          <w:lang w:val="en-US"/>
        </w:rPr>
        <w:t>)</w:t>
      </w:r>
      <w:r w:rsidRPr="00640147">
        <w:rPr>
          <w:lang w:val="en-US"/>
        </w:rPr>
        <w:t>.</w:t>
      </w:r>
    </w:p>
    <w:bookmarkEnd w:id="34"/>
    <w:p w14:paraId="387AAE1A" w14:textId="6E44C248" w:rsidR="00C01653" w:rsidRPr="007207CE" w:rsidRDefault="00E4233D" w:rsidP="007207CE">
      <w:pPr>
        <w:pStyle w:val="CETReferencetext"/>
        <w:rPr>
          <w:lang w:val="en-US"/>
        </w:rPr>
      </w:pPr>
      <w:r w:rsidRPr="00D52ECD">
        <w:fldChar w:fldCharType="end"/>
      </w:r>
      <w:r w:rsidR="007207CE" w:rsidRPr="007207CE">
        <w:rPr>
          <w:lang w:val="en-US"/>
        </w:rPr>
        <w:t xml:space="preserve">Peters, M.; </w:t>
      </w:r>
      <w:proofErr w:type="spellStart"/>
      <w:r w:rsidR="007207CE" w:rsidRPr="007207CE">
        <w:rPr>
          <w:lang w:val="en-US"/>
        </w:rPr>
        <w:t>Timmerhaus</w:t>
      </w:r>
      <w:proofErr w:type="spellEnd"/>
      <w:r w:rsidR="007207CE" w:rsidRPr="007207CE">
        <w:rPr>
          <w:lang w:val="en-US"/>
        </w:rPr>
        <w:t xml:space="preserve">, K.; West, R. (2006): Plant Design and Economics for Chemical Engineers. 5th ed.: </w:t>
      </w:r>
      <w:proofErr w:type="spellStart"/>
      <w:r w:rsidR="007207CE" w:rsidRPr="007207CE">
        <w:rPr>
          <w:lang w:val="en-US"/>
        </w:rPr>
        <w:t>Mcgraw-Hill</w:t>
      </w:r>
      <w:proofErr w:type="spellEnd"/>
      <w:r w:rsidR="007207CE" w:rsidRPr="007207CE">
        <w:rPr>
          <w:lang w:val="en-US"/>
        </w:rPr>
        <w:t xml:space="preserve"> </w:t>
      </w:r>
      <w:proofErr w:type="spellStart"/>
      <w:r w:rsidR="007207CE" w:rsidRPr="007207CE">
        <w:rPr>
          <w:lang w:val="en-US"/>
        </w:rPr>
        <w:t>Publ.Comp</w:t>
      </w:r>
      <w:proofErr w:type="spellEnd"/>
      <w:r w:rsidR="007207CE" w:rsidRPr="007207CE">
        <w:rPr>
          <w:lang w:val="en-US"/>
        </w:rPr>
        <w:t>. Available online at http://www.mhhe.com/engcs/chemical/peters/data/.</w:t>
      </w:r>
    </w:p>
    <w:sectPr w:rsidR="00C01653" w:rsidRPr="007207C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57BF" w14:textId="77777777" w:rsidR="00AB2849" w:rsidRDefault="00AB2849" w:rsidP="004F5E36">
      <w:r>
        <w:separator/>
      </w:r>
    </w:p>
  </w:endnote>
  <w:endnote w:type="continuationSeparator" w:id="0">
    <w:p w14:paraId="1F72230D" w14:textId="77777777" w:rsidR="00AB2849" w:rsidRDefault="00AB28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C0095" w14:textId="77777777" w:rsidR="00AB2849" w:rsidRDefault="00AB2849" w:rsidP="004F5E36">
      <w:r>
        <w:separator/>
      </w:r>
    </w:p>
  </w:footnote>
  <w:footnote w:type="continuationSeparator" w:id="0">
    <w:p w14:paraId="125F868B" w14:textId="77777777" w:rsidR="00AB2849" w:rsidRDefault="00AB284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9832BE"/>
    <w:multiLevelType w:val="hybridMultilevel"/>
    <w:tmpl w:val="CC60F4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E07210"/>
    <w:multiLevelType w:val="hybridMultilevel"/>
    <w:tmpl w:val="CC60F4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38217E"/>
    <w:multiLevelType w:val="multilevel"/>
    <w:tmpl w:val="723A9FF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61C3780"/>
    <w:multiLevelType w:val="hybridMultilevel"/>
    <w:tmpl w:val="B8342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98583B"/>
    <w:multiLevelType w:val="hybridMultilevel"/>
    <w:tmpl w:val="1A5C8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6"/>
  </w:num>
  <w:num w:numId="23">
    <w:abstractNumId w:val="10"/>
  </w:num>
  <w:num w:numId="24">
    <w:abstractNumId w:val="13"/>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4D5"/>
    <w:rsid w:val="00010CAB"/>
    <w:rsid w:val="000117CB"/>
    <w:rsid w:val="0002705E"/>
    <w:rsid w:val="0003148D"/>
    <w:rsid w:val="00031EEC"/>
    <w:rsid w:val="00034E8D"/>
    <w:rsid w:val="00051566"/>
    <w:rsid w:val="00054DAC"/>
    <w:rsid w:val="000562A9"/>
    <w:rsid w:val="00062A9A"/>
    <w:rsid w:val="00065058"/>
    <w:rsid w:val="00071E2F"/>
    <w:rsid w:val="00073188"/>
    <w:rsid w:val="0008574B"/>
    <w:rsid w:val="00086C39"/>
    <w:rsid w:val="000877D8"/>
    <w:rsid w:val="000A03B2"/>
    <w:rsid w:val="000D0268"/>
    <w:rsid w:val="000D34BE"/>
    <w:rsid w:val="000E102F"/>
    <w:rsid w:val="000E36F1"/>
    <w:rsid w:val="000E3A73"/>
    <w:rsid w:val="000E414A"/>
    <w:rsid w:val="000F093C"/>
    <w:rsid w:val="000F2495"/>
    <w:rsid w:val="000F787B"/>
    <w:rsid w:val="00104C5E"/>
    <w:rsid w:val="00111324"/>
    <w:rsid w:val="00117D99"/>
    <w:rsid w:val="0012091F"/>
    <w:rsid w:val="00126BC2"/>
    <w:rsid w:val="001308B6"/>
    <w:rsid w:val="0013121F"/>
    <w:rsid w:val="00131B53"/>
    <w:rsid w:val="00131F24"/>
    <w:rsid w:val="00131FE6"/>
    <w:rsid w:val="0013263F"/>
    <w:rsid w:val="001331DF"/>
    <w:rsid w:val="00134DE4"/>
    <w:rsid w:val="0014034D"/>
    <w:rsid w:val="00144D16"/>
    <w:rsid w:val="00150E59"/>
    <w:rsid w:val="00152432"/>
    <w:rsid w:val="00152DE3"/>
    <w:rsid w:val="00156221"/>
    <w:rsid w:val="00164CF9"/>
    <w:rsid w:val="001667A6"/>
    <w:rsid w:val="00176E19"/>
    <w:rsid w:val="0017732C"/>
    <w:rsid w:val="00184AD6"/>
    <w:rsid w:val="00185296"/>
    <w:rsid w:val="00195259"/>
    <w:rsid w:val="001A4AF7"/>
    <w:rsid w:val="001B0349"/>
    <w:rsid w:val="001B0579"/>
    <w:rsid w:val="001B1E93"/>
    <w:rsid w:val="001B65C1"/>
    <w:rsid w:val="001C684B"/>
    <w:rsid w:val="001C744A"/>
    <w:rsid w:val="001D0CFB"/>
    <w:rsid w:val="001D21AF"/>
    <w:rsid w:val="001D53FC"/>
    <w:rsid w:val="001F3B91"/>
    <w:rsid w:val="001F42A5"/>
    <w:rsid w:val="001F7B9D"/>
    <w:rsid w:val="00201C93"/>
    <w:rsid w:val="002224B4"/>
    <w:rsid w:val="00237A1E"/>
    <w:rsid w:val="00241F30"/>
    <w:rsid w:val="002447EF"/>
    <w:rsid w:val="00251550"/>
    <w:rsid w:val="00263B05"/>
    <w:rsid w:val="00267832"/>
    <w:rsid w:val="0027215A"/>
    <w:rsid w:val="0027221A"/>
    <w:rsid w:val="00275B61"/>
    <w:rsid w:val="00280FAF"/>
    <w:rsid w:val="00282656"/>
    <w:rsid w:val="00287F82"/>
    <w:rsid w:val="00296B83"/>
    <w:rsid w:val="002B4015"/>
    <w:rsid w:val="002B78CE"/>
    <w:rsid w:val="002C2FB6"/>
    <w:rsid w:val="002E5FA7"/>
    <w:rsid w:val="002F3309"/>
    <w:rsid w:val="003008CE"/>
    <w:rsid w:val="003009B7"/>
    <w:rsid w:val="00300E56"/>
    <w:rsid w:val="0030152C"/>
    <w:rsid w:val="0030469C"/>
    <w:rsid w:val="00310799"/>
    <w:rsid w:val="00321CA6"/>
    <w:rsid w:val="00323763"/>
    <w:rsid w:val="00323C5F"/>
    <w:rsid w:val="00334C09"/>
    <w:rsid w:val="003416B4"/>
    <w:rsid w:val="00345B2A"/>
    <w:rsid w:val="003472EB"/>
    <w:rsid w:val="00347798"/>
    <w:rsid w:val="00353904"/>
    <w:rsid w:val="00357049"/>
    <w:rsid w:val="003723D4"/>
    <w:rsid w:val="00375956"/>
    <w:rsid w:val="00377540"/>
    <w:rsid w:val="0038016F"/>
    <w:rsid w:val="00381905"/>
    <w:rsid w:val="00384B93"/>
    <w:rsid w:val="00384CC8"/>
    <w:rsid w:val="003871FD"/>
    <w:rsid w:val="00391594"/>
    <w:rsid w:val="003A1E30"/>
    <w:rsid w:val="003A2829"/>
    <w:rsid w:val="003A6FC6"/>
    <w:rsid w:val="003A7D1C"/>
    <w:rsid w:val="003B304B"/>
    <w:rsid w:val="003B3146"/>
    <w:rsid w:val="003B569C"/>
    <w:rsid w:val="003F015E"/>
    <w:rsid w:val="003F5DCC"/>
    <w:rsid w:val="00400414"/>
    <w:rsid w:val="00405084"/>
    <w:rsid w:val="00413EBD"/>
    <w:rsid w:val="0041446B"/>
    <w:rsid w:val="0044071E"/>
    <w:rsid w:val="00441979"/>
    <w:rsid w:val="0044329C"/>
    <w:rsid w:val="00453E24"/>
    <w:rsid w:val="004564B4"/>
    <w:rsid w:val="00457456"/>
    <w:rsid w:val="004577FE"/>
    <w:rsid w:val="00457B9C"/>
    <w:rsid w:val="0046164A"/>
    <w:rsid w:val="004628D2"/>
    <w:rsid w:val="00462DCD"/>
    <w:rsid w:val="004648AD"/>
    <w:rsid w:val="004665DA"/>
    <w:rsid w:val="004703A9"/>
    <w:rsid w:val="004760DE"/>
    <w:rsid w:val="004763D7"/>
    <w:rsid w:val="004877B7"/>
    <w:rsid w:val="004A004E"/>
    <w:rsid w:val="004A20DD"/>
    <w:rsid w:val="004A24CF"/>
    <w:rsid w:val="004C3D1D"/>
    <w:rsid w:val="004C3D84"/>
    <w:rsid w:val="004C7913"/>
    <w:rsid w:val="004D181A"/>
    <w:rsid w:val="004D5F70"/>
    <w:rsid w:val="004E3621"/>
    <w:rsid w:val="004E4BE2"/>
    <w:rsid w:val="004E4DD6"/>
    <w:rsid w:val="004F5E36"/>
    <w:rsid w:val="00507B47"/>
    <w:rsid w:val="00507BEF"/>
    <w:rsid w:val="00507CC9"/>
    <w:rsid w:val="005119A5"/>
    <w:rsid w:val="00516AAC"/>
    <w:rsid w:val="005278B7"/>
    <w:rsid w:val="00532016"/>
    <w:rsid w:val="005346C8"/>
    <w:rsid w:val="00535F30"/>
    <w:rsid w:val="0053734A"/>
    <w:rsid w:val="00543E7D"/>
    <w:rsid w:val="00547A68"/>
    <w:rsid w:val="00547F06"/>
    <w:rsid w:val="005531C9"/>
    <w:rsid w:val="00570C43"/>
    <w:rsid w:val="005B2110"/>
    <w:rsid w:val="005B61E6"/>
    <w:rsid w:val="005C77E1"/>
    <w:rsid w:val="005D668A"/>
    <w:rsid w:val="005D6A2F"/>
    <w:rsid w:val="005E1A82"/>
    <w:rsid w:val="005E794C"/>
    <w:rsid w:val="005E7C48"/>
    <w:rsid w:val="005F0A28"/>
    <w:rsid w:val="005F0E5E"/>
    <w:rsid w:val="00600535"/>
    <w:rsid w:val="00607707"/>
    <w:rsid w:val="00610CD6"/>
    <w:rsid w:val="0061644F"/>
    <w:rsid w:val="00620DEE"/>
    <w:rsid w:val="00621F92"/>
    <w:rsid w:val="0062280A"/>
    <w:rsid w:val="00624219"/>
    <w:rsid w:val="00625639"/>
    <w:rsid w:val="00631B33"/>
    <w:rsid w:val="00636084"/>
    <w:rsid w:val="00640147"/>
    <w:rsid w:val="0064184D"/>
    <w:rsid w:val="006422CC"/>
    <w:rsid w:val="00645D1C"/>
    <w:rsid w:val="00653E36"/>
    <w:rsid w:val="00660E3E"/>
    <w:rsid w:val="00662BE6"/>
    <w:rsid w:val="00662E74"/>
    <w:rsid w:val="00674263"/>
    <w:rsid w:val="00680C23"/>
    <w:rsid w:val="00693766"/>
    <w:rsid w:val="006A1D52"/>
    <w:rsid w:val="006A3281"/>
    <w:rsid w:val="006B4888"/>
    <w:rsid w:val="006C2E45"/>
    <w:rsid w:val="006C359C"/>
    <w:rsid w:val="006C5579"/>
    <w:rsid w:val="006D6E8B"/>
    <w:rsid w:val="006E3260"/>
    <w:rsid w:val="006E3CB4"/>
    <w:rsid w:val="006E403E"/>
    <w:rsid w:val="006E737D"/>
    <w:rsid w:val="006F336D"/>
    <w:rsid w:val="006F74AF"/>
    <w:rsid w:val="0070417C"/>
    <w:rsid w:val="00704862"/>
    <w:rsid w:val="007105BC"/>
    <w:rsid w:val="00713973"/>
    <w:rsid w:val="0071465A"/>
    <w:rsid w:val="007207CE"/>
    <w:rsid w:val="00720A24"/>
    <w:rsid w:val="00732386"/>
    <w:rsid w:val="0073514D"/>
    <w:rsid w:val="007447F3"/>
    <w:rsid w:val="0075499F"/>
    <w:rsid w:val="00763FA9"/>
    <w:rsid w:val="007646DA"/>
    <w:rsid w:val="007661C8"/>
    <w:rsid w:val="0077098D"/>
    <w:rsid w:val="00772717"/>
    <w:rsid w:val="007931FA"/>
    <w:rsid w:val="007A4861"/>
    <w:rsid w:val="007A7BBA"/>
    <w:rsid w:val="007B0C50"/>
    <w:rsid w:val="007B48F9"/>
    <w:rsid w:val="007C1A43"/>
    <w:rsid w:val="007C2301"/>
    <w:rsid w:val="007D0951"/>
    <w:rsid w:val="007E5B5B"/>
    <w:rsid w:val="0080013E"/>
    <w:rsid w:val="00813288"/>
    <w:rsid w:val="008136F7"/>
    <w:rsid w:val="008168FC"/>
    <w:rsid w:val="00830996"/>
    <w:rsid w:val="008345F1"/>
    <w:rsid w:val="00842BD2"/>
    <w:rsid w:val="00851D1A"/>
    <w:rsid w:val="00865B07"/>
    <w:rsid w:val="008667EA"/>
    <w:rsid w:val="00871212"/>
    <w:rsid w:val="00871EF8"/>
    <w:rsid w:val="00872547"/>
    <w:rsid w:val="0087637F"/>
    <w:rsid w:val="00880FC4"/>
    <w:rsid w:val="00885D9C"/>
    <w:rsid w:val="00892AD5"/>
    <w:rsid w:val="008A0BBE"/>
    <w:rsid w:val="008A1512"/>
    <w:rsid w:val="008B7C03"/>
    <w:rsid w:val="008C5882"/>
    <w:rsid w:val="008D32B9"/>
    <w:rsid w:val="008D433B"/>
    <w:rsid w:val="008D4A16"/>
    <w:rsid w:val="008E566E"/>
    <w:rsid w:val="008F136C"/>
    <w:rsid w:val="0090161A"/>
    <w:rsid w:val="00901EB6"/>
    <w:rsid w:val="00904C62"/>
    <w:rsid w:val="009116AE"/>
    <w:rsid w:val="009119FC"/>
    <w:rsid w:val="00915A56"/>
    <w:rsid w:val="00922BA8"/>
    <w:rsid w:val="00924DAC"/>
    <w:rsid w:val="00926258"/>
    <w:rsid w:val="00927058"/>
    <w:rsid w:val="00934816"/>
    <w:rsid w:val="00942750"/>
    <w:rsid w:val="009450CE"/>
    <w:rsid w:val="009459BB"/>
    <w:rsid w:val="00947179"/>
    <w:rsid w:val="0095164B"/>
    <w:rsid w:val="00954090"/>
    <w:rsid w:val="009573E7"/>
    <w:rsid w:val="00962A26"/>
    <w:rsid w:val="00963E05"/>
    <w:rsid w:val="00964A45"/>
    <w:rsid w:val="00967843"/>
    <w:rsid w:val="00967D54"/>
    <w:rsid w:val="00971028"/>
    <w:rsid w:val="00976C1D"/>
    <w:rsid w:val="00993223"/>
    <w:rsid w:val="00993B84"/>
    <w:rsid w:val="00995956"/>
    <w:rsid w:val="00996483"/>
    <w:rsid w:val="00996E10"/>
    <w:rsid w:val="00996F5A"/>
    <w:rsid w:val="009B01F8"/>
    <w:rsid w:val="009B041A"/>
    <w:rsid w:val="009B6580"/>
    <w:rsid w:val="009C37C3"/>
    <w:rsid w:val="009C7C86"/>
    <w:rsid w:val="009D0BE1"/>
    <w:rsid w:val="009D2FF7"/>
    <w:rsid w:val="009E1731"/>
    <w:rsid w:val="009E7884"/>
    <w:rsid w:val="009E788A"/>
    <w:rsid w:val="009F0E08"/>
    <w:rsid w:val="009F552C"/>
    <w:rsid w:val="00A1763D"/>
    <w:rsid w:val="00A17CEC"/>
    <w:rsid w:val="00A21513"/>
    <w:rsid w:val="00A27EF0"/>
    <w:rsid w:val="00A27F8B"/>
    <w:rsid w:val="00A363FF"/>
    <w:rsid w:val="00A40B86"/>
    <w:rsid w:val="00A42361"/>
    <w:rsid w:val="00A443A8"/>
    <w:rsid w:val="00A47818"/>
    <w:rsid w:val="00A50B20"/>
    <w:rsid w:val="00A51390"/>
    <w:rsid w:val="00A60D13"/>
    <w:rsid w:val="00A7223D"/>
    <w:rsid w:val="00A72745"/>
    <w:rsid w:val="00A76EFC"/>
    <w:rsid w:val="00A84077"/>
    <w:rsid w:val="00A86E50"/>
    <w:rsid w:val="00A87D50"/>
    <w:rsid w:val="00A91010"/>
    <w:rsid w:val="00A9409D"/>
    <w:rsid w:val="00A97F29"/>
    <w:rsid w:val="00AA2874"/>
    <w:rsid w:val="00AA702E"/>
    <w:rsid w:val="00AA7D26"/>
    <w:rsid w:val="00AB0964"/>
    <w:rsid w:val="00AB2849"/>
    <w:rsid w:val="00AB5011"/>
    <w:rsid w:val="00AC7368"/>
    <w:rsid w:val="00AC7D45"/>
    <w:rsid w:val="00AD16B9"/>
    <w:rsid w:val="00AD5AA8"/>
    <w:rsid w:val="00AE1FB0"/>
    <w:rsid w:val="00AE377D"/>
    <w:rsid w:val="00AF0EBA"/>
    <w:rsid w:val="00B02C8A"/>
    <w:rsid w:val="00B07970"/>
    <w:rsid w:val="00B128B4"/>
    <w:rsid w:val="00B14A73"/>
    <w:rsid w:val="00B17FBD"/>
    <w:rsid w:val="00B20458"/>
    <w:rsid w:val="00B24F5E"/>
    <w:rsid w:val="00B315A6"/>
    <w:rsid w:val="00B31813"/>
    <w:rsid w:val="00B33365"/>
    <w:rsid w:val="00B51883"/>
    <w:rsid w:val="00B56578"/>
    <w:rsid w:val="00B57B36"/>
    <w:rsid w:val="00B57E6F"/>
    <w:rsid w:val="00B6109B"/>
    <w:rsid w:val="00B658B2"/>
    <w:rsid w:val="00B8686D"/>
    <w:rsid w:val="00B93F69"/>
    <w:rsid w:val="00B94536"/>
    <w:rsid w:val="00B94BC4"/>
    <w:rsid w:val="00B96EAA"/>
    <w:rsid w:val="00BB1DDC"/>
    <w:rsid w:val="00BC30C9"/>
    <w:rsid w:val="00BD077D"/>
    <w:rsid w:val="00BD1DDF"/>
    <w:rsid w:val="00BD6C65"/>
    <w:rsid w:val="00BD7D43"/>
    <w:rsid w:val="00BE3E58"/>
    <w:rsid w:val="00C01616"/>
    <w:rsid w:val="00C0162B"/>
    <w:rsid w:val="00C01653"/>
    <w:rsid w:val="00C0249D"/>
    <w:rsid w:val="00C068ED"/>
    <w:rsid w:val="00C22E0C"/>
    <w:rsid w:val="00C345B1"/>
    <w:rsid w:val="00C37D2C"/>
    <w:rsid w:val="00C40142"/>
    <w:rsid w:val="00C44B7F"/>
    <w:rsid w:val="00C52C3C"/>
    <w:rsid w:val="00C57182"/>
    <w:rsid w:val="00C57863"/>
    <w:rsid w:val="00C640AF"/>
    <w:rsid w:val="00C655FD"/>
    <w:rsid w:val="00C75407"/>
    <w:rsid w:val="00C85A3E"/>
    <w:rsid w:val="00C870A8"/>
    <w:rsid w:val="00C90354"/>
    <w:rsid w:val="00C94434"/>
    <w:rsid w:val="00CA0D4A"/>
    <w:rsid w:val="00CA0D75"/>
    <w:rsid w:val="00CA1C95"/>
    <w:rsid w:val="00CA34FE"/>
    <w:rsid w:val="00CA5A9C"/>
    <w:rsid w:val="00CC4C20"/>
    <w:rsid w:val="00CD3517"/>
    <w:rsid w:val="00CD5FE2"/>
    <w:rsid w:val="00CE0905"/>
    <w:rsid w:val="00CE7C68"/>
    <w:rsid w:val="00D02B4C"/>
    <w:rsid w:val="00D040C4"/>
    <w:rsid w:val="00D178BB"/>
    <w:rsid w:val="00D20AD1"/>
    <w:rsid w:val="00D326D4"/>
    <w:rsid w:val="00D34408"/>
    <w:rsid w:val="00D46B7E"/>
    <w:rsid w:val="00D57316"/>
    <w:rsid w:val="00D57C84"/>
    <w:rsid w:val="00D6057D"/>
    <w:rsid w:val="00D648EC"/>
    <w:rsid w:val="00D67FE2"/>
    <w:rsid w:val="00D70914"/>
    <w:rsid w:val="00D71640"/>
    <w:rsid w:val="00D836C5"/>
    <w:rsid w:val="00D84576"/>
    <w:rsid w:val="00DA1399"/>
    <w:rsid w:val="00DA183C"/>
    <w:rsid w:val="00DA24C6"/>
    <w:rsid w:val="00DA4D7B"/>
    <w:rsid w:val="00DB0120"/>
    <w:rsid w:val="00DB058A"/>
    <w:rsid w:val="00DB42CB"/>
    <w:rsid w:val="00DB6AA2"/>
    <w:rsid w:val="00DD271C"/>
    <w:rsid w:val="00DD6B3F"/>
    <w:rsid w:val="00DE264A"/>
    <w:rsid w:val="00DF5072"/>
    <w:rsid w:val="00E00C8D"/>
    <w:rsid w:val="00E0197B"/>
    <w:rsid w:val="00E02D18"/>
    <w:rsid w:val="00E03D3F"/>
    <w:rsid w:val="00E041E7"/>
    <w:rsid w:val="00E229D2"/>
    <w:rsid w:val="00E23070"/>
    <w:rsid w:val="00E23CA1"/>
    <w:rsid w:val="00E31C09"/>
    <w:rsid w:val="00E33DD7"/>
    <w:rsid w:val="00E409A8"/>
    <w:rsid w:val="00E4233D"/>
    <w:rsid w:val="00E50C12"/>
    <w:rsid w:val="00E65B91"/>
    <w:rsid w:val="00E70D13"/>
    <w:rsid w:val="00E7209D"/>
    <w:rsid w:val="00E72EAD"/>
    <w:rsid w:val="00E74DE1"/>
    <w:rsid w:val="00E77223"/>
    <w:rsid w:val="00E849DA"/>
    <w:rsid w:val="00E8528B"/>
    <w:rsid w:val="00E85B94"/>
    <w:rsid w:val="00E910C8"/>
    <w:rsid w:val="00E978D0"/>
    <w:rsid w:val="00EA4613"/>
    <w:rsid w:val="00EA6510"/>
    <w:rsid w:val="00EA7F91"/>
    <w:rsid w:val="00EB1523"/>
    <w:rsid w:val="00EC0E49"/>
    <w:rsid w:val="00EC101F"/>
    <w:rsid w:val="00EC1D9F"/>
    <w:rsid w:val="00ED60FC"/>
    <w:rsid w:val="00EE0131"/>
    <w:rsid w:val="00EE0DD0"/>
    <w:rsid w:val="00EE17B0"/>
    <w:rsid w:val="00EF06D9"/>
    <w:rsid w:val="00EF0706"/>
    <w:rsid w:val="00EF3FF8"/>
    <w:rsid w:val="00EF4C7F"/>
    <w:rsid w:val="00F05F22"/>
    <w:rsid w:val="00F20AFF"/>
    <w:rsid w:val="00F249C0"/>
    <w:rsid w:val="00F3049E"/>
    <w:rsid w:val="00F30C64"/>
    <w:rsid w:val="00F32BA2"/>
    <w:rsid w:val="00F32CDB"/>
    <w:rsid w:val="00F35392"/>
    <w:rsid w:val="00F40A7C"/>
    <w:rsid w:val="00F42D02"/>
    <w:rsid w:val="00F47E81"/>
    <w:rsid w:val="00F54555"/>
    <w:rsid w:val="00F565FE"/>
    <w:rsid w:val="00F63A70"/>
    <w:rsid w:val="00F63D8C"/>
    <w:rsid w:val="00F7534E"/>
    <w:rsid w:val="00F82884"/>
    <w:rsid w:val="00F913B6"/>
    <w:rsid w:val="00F92634"/>
    <w:rsid w:val="00F93EDF"/>
    <w:rsid w:val="00F969B1"/>
    <w:rsid w:val="00FA1802"/>
    <w:rsid w:val="00FA21D0"/>
    <w:rsid w:val="00FA5F5F"/>
    <w:rsid w:val="00FB44BA"/>
    <w:rsid w:val="00FB730C"/>
    <w:rsid w:val="00FC2695"/>
    <w:rsid w:val="00FC3E03"/>
    <w:rsid w:val="00FC3FC1"/>
    <w:rsid w:val="00FC733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915A56"/>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s>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basedOn w:val="Standard"/>
    <w:next w:val="CETBodytext"/>
    <w:qFormat/>
    <w:rsid w:val="009E788A"/>
    <w:pPr>
      <w:keepNext/>
      <w:numPr>
        <w:ilvl w:val="1"/>
        <w:numId w:val="1"/>
      </w:numPr>
      <w:tabs>
        <w:tab w:val="num" w:pos="360"/>
      </w:tabs>
      <w:suppressAutoHyphens/>
      <w:spacing w:before="240" w:after="120" w:line="240" w:lineRule="auto"/>
    </w:pPr>
    <w:rPr>
      <w:b/>
      <w:sz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basedOn w:val="berschrift2"/>
    <w:next w:val="CETBodytext"/>
    <w:link w:val="CETheadingxCarattere"/>
    <w:autoRedefine/>
    <w:qFormat/>
    <w:rsid w:val="00885D9C"/>
    <w:pPr>
      <w:numPr>
        <w:ilvl w:val="2"/>
        <w:numId w:val="1"/>
      </w:numPr>
      <w:suppressAutoHyphens/>
      <w:spacing w:before="120" w:after="120" w:line="22" w:lineRule="atLeast"/>
      <w:ind w:left="0"/>
      <w:jc w:val="left"/>
    </w:pPr>
    <w:rPr>
      <w:rFonts w:ascii="Arial" w:hAnsi="Arial"/>
      <w:color w:val="auto"/>
      <w:sz w:val="18"/>
      <w:lang w:val="en-US" w:eastAsia="de-D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85D9C"/>
    <w:rPr>
      <w:rFonts w:ascii="Arial" w:eastAsiaTheme="majorEastAsia" w:hAnsi="Arial" w:cstheme="majorBidi"/>
      <w:b/>
      <w:bCs/>
      <w:sz w:val="18"/>
      <w:szCs w:val="26"/>
      <w:lang w:val="en-US" w:eastAsia="de-DE"/>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unhideWhenUsed/>
    <w:rsid w:val="0003148D"/>
    <w:pPr>
      <w:spacing w:after="100"/>
    </w:pPr>
  </w:style>
  <w:style w:type="paragraph" w:styleId="Verzeichnis2">
    <w:name w:val="toc 2"/>
    <w:basedOn w:val="Standard"/>
    <w:next w:val="Standard"/>
    <w:autoRedefine/>
    <w:uiPriority w:val="39"/>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eastAsia="de-DE"/>
    </w:rPr>
  </w:style>
  <w:style w:type="paragraph" w:styleId="Listenabsatz">
    <w:name w:val="List Paragraph"/>
    <w:basedOn w:val="Standard"/>
    <w:uiPriority w:val="34"/>
    <w:qFormat/>
    <w:rsid w:val="00280FAF"/>
    <w:pPr>
      <w:ind w:left="720"/>
      <w:contextualSpacing/>
    </w:pPr>
  </w:style>
  <w:style w:type="character" w:customStyle="1" w:styleId="NichtaufgelsteErwhnung1">
    <w:name w:val="Nicht aufgelöste Erwähnung1"/>
    <w:basedOn w:val="Absatz-Standardschriftart"/>
    <w:uiPriority w:val="99"/>
    <w:semiHidden/>
    <w:unhideWhenUsed/>
    <w:rsid w:val="00DB42CB"/>
    <w:rPr>
      <w:color w:val="605E5C"/>
      <w:shd w:val="clear" w:color="auto" w:fill="E1DFDD"/>
    </w:rPr>
  </w:style>
  <w:style w:type="table" w:customStyle="1" w:styleId="Tabellenraster1">
    <w:name w:val="Tabellenraster1"/>
    <w:basedOn w:val="NormaleTabelle"/>
    <w:next w:val="Tabellenraster"/>
    <w:uiPriority w:val="39"/>
    <w:rsid w:val="00E4233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rsid w:val="00E4233D"/>
    <w:pPr>
      <w:tabs>
        <w:tab w:val="clear" w:pos="7100"/>
        <w:tab w:val="left" w:pos="397"/>
        <w:tab w:val="left" w:pos="454"/>
      </w:tabs>
      <w:spacing w:line="259" w:lineRule="auto"/>
      <w:ind w:left="397" w:hanging="397"/>
      <w:jc w:val="left"/>
    </w:pPr>
    <w:rPr>
      <w:rFonts w:asciiTheme="minorHAnsi" w:eastAsiaTheme="minorHAnsi" w:hAnsiTheme="minorHAnsi" w:cstheme="minorBidi"/>
      <w:sz w:val="22"/>
      <w:szCs w:val="22"/>
      <w:lang w:val="de-DE"/>
    </w:rPr>
  </w:style>
  <w:style w:type="character" w:customStyle="1" w:styleId="CitaviBibliographyEntryZchn">
    <w:name w:val="Citavi Bibliography Entry Zchn"/>
    <w:basedOn w:val="Absatz-Standardschriftart"/>
    <w:link w:val="CitaviBibliographyEntry"/>
    <w:rsid w:val="00E4233D"/>
    <w:rPr>
      <w:lang w:val="de-DE"/>
    </w:rPr>
  </w:style>
  <w:style w:type="paragraph" w:customStyle="1" w:styleId="CitaviBibliographyHeading">
    <w:name w:val="Citavi Bibliography Heading"/>
    <w:basedOn w:val="berschrift1"/>
    <w:link w:val="CitaviBibliographyHeadingZchn"/>
    <w:rsid w:val="00E4233D"/>
    <w:pPr>
      <w:keepLines/>
      <w:numPr>
        <w:ilvl w:val="0"/>
        <w:numId w:val="0"/>
      </w:numPr>
      <w:tabs>
        <w:tab w:val="clear" w:pos="7100"/>
      </w:tabs>
      <w:suppressAutoHyphens w:val="0"/>
      <w:spacing w:after="0" w:line="259" w:lineRule="auto"/>
      <w:jc w:val="left"/>
    </w:pPr>
    <w:rPr>
      <w:rFonts w:asciiTheme="majorHAnsi" w:eastAsiaTheme="majorEastAsia" w:hAnsiTheme="majorHAnsi" w:cstheme="majorBidi"/>
      <w:b w:val="0"/>
      <w:color w:val="365F91" w:themeColor="accent1" w:themeShade="BF"/>
      <w:sz w:val="32"/>
      <w:szCs w:val="32"/>
      <w:lang w:val="de-DE"/>
    </w:rPr>
  </w:style>
  <w:style w:type="character" w:customStyle="1" w:styleId="CitaviBibliographyHeadingZchn">
    <w:name w:val="Citavi Bibliography Heading Zchn"/>
    <w:basedOn w:val="Absatz-Standardschriftart"/>
    <w:link w:val="CitaviBibliographyHeading"/>
    <w:rsid w:val="00E4233D"/>
    <w:rPr>
      <w:rFonts w:asciiTheme="majorHAnsi" w:eastAsiaTheme="majorEastAsia" w:hAnsiTheme="majorHAnsi" w:cstheme="majorBidi"/>
      <w:color w:val="365F91" w:themeColor="accent1" w:themeShade="BF"/>
      <w:sz w:val="32"/>
      <w:szCs w:val="32"/>
      <w:lang w:val="de-DE"/>
    </w:rPr>
  </w:style>
  <w:style w:type="table" w:styleId="Gitternetztabelle1hell">
    <w:name w:val="Grid Table 1 Light"/>
    <w:basedOn w:val="NormaleTabelle"/>
    <w:uiPriority w:val="46"/>
    <w:rsid w:val="00E4233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itaviBibliographySubheading1">
    <w:name w:val="Citavi Bibliography Subheading 1"/>
    <w:basedOn w:val="berschrift2"/>
    <w:link w:val="CitaviBibliographySubheading1Zchn"/>
    <w:rsid w:val="000104D5"/>
    <w:pPr>
      <w:jc w:val="left"/>
      <w:outlineLvl w:val="9"/>
    </w:pPr>
  </w:style>
  <w:style w:type="character" w:customStyle="1" w:styleId="CitaviBibliographySubheading1Zchn">
    <w:name w:val="Citavi Bibliography Subheading 1 Zchn"/>
    <w:basedOn w:val="CETBodytextCarattere"/>
    <w:link w:val="CitaviBibliographySubheading1"/>
    <w:rsid w:val="000104D5"/>
    <w:rPr>
      <w:rFonts w:asciiTheme="majorHAnsi" w:eastAsiaTheme="majorEastAsia" w:hAnsiTheme="majorHAnsi" w:cstheme="majorBidi"/>
      <w:b/>
      <w:bCs/>
      <w:color w:val="4F81BD" w:themeColor="accent1"/>
      <w:sz w:val="26"/>
      <w:szCs w:val="26"/>
      <w:lang w:val="en-GB"/>
    </w:rPr>
  </w:style>
  <w:style w:type="paragraph" w:customStyle="1" w:styleId="CitaviBibliographySubheading2">
    <w:name w:val="Citavi Bibliography Subheading 2"/>
    <w:basedOn w:val="berschrift3"/>
    <w:link w:val="CitaviBibliographySubheading2Zchn"/>
    <w:rsid w:val="000104D5"/>
    <w:pPr>
      <w:jc w:val="left"/>
      <w:outlineLvl w:val="9"/>
    </w:pPr>
  </w:style>
  <w:style w:type="character" w:customStyle="1" w:styleId="CitaviBibliographySubheading2Zchn">
    <w:name w:val="Citavi Bibliography Subheading 2 Zchn"/>
    <w:basedOn w:val="CETBodytextCarattere"/>
    <w:link w:val="CitaviBibliographySubheading2"/>
    <w:rsid w:val="000104D5"/>
    <w:rPr>
      <w:rFonts w:asciiTheme="majorHAnsi" w:eastAsiaTheme="majorEastAsia" w:hAnsiTheme="majorHAnsi" w:cstheme="majorBidi"/>
      <w:b/>
      <w:bCs/>
      <w:color w:val="4F81BD" w:themeColor="accent1"/>
      <w:sz w:val="18"/>
      <w:szCs w:val="20"/>
      <w:lang w:val="en-GB"/>
    </w:rPr>
  </w:style>
  <w:style w:type="paragraph" w:customStyle="1" w:styleId="CitaviBibliographySubheading3">
    <w:name w:val="Citavi Bibliography Subheading 3"/>
    <w:basedOn w:val="berschrift4"/>
    <w:link w:val="CitaviBibliographySubheading3Zchn"/>
    <w:rsid w:val="000104D5"/>
    <w:pPr>
      <w:jc w:val="left"/>
      <w:outlineLvl w:val="9"/>
    </w:pPr>
  </w:style>
  <w:style w:type="character" w:customStyle="1" w:styleId="CitaviBibliographySubheading3Zchn">
    <w:name w:val="Citavi Bibliography Subheading 3 Zchn"/>
    <w:basedOn w:val="CETBodytextCarattere"/>
    <w:link w:val="CitaviBibliographySubheading3"/>
    <w:rsid w:val="000104D5"/>
    <w:rPr>
      <w:rFonts w:asciiTheme="majorHAnsi" w:eastAsiaTheme="majorEastAsia" w:hAnsiTheme="majorHAnsi" w:cstheme="majorBidi"/>
      <w:b/>
      <w:bCs/>
      <w:i/>
      <w:iCs/>
      <w:color w:val="4F81BD" w:themeColor="accent1"/>
      <w:sz w:val="18"/>
      <w:szCs w:val="20"/>
      <w:lang w:val="en-GB"/>
    </w:rPr>
  </w:style>
  <w:style w:type="paragraph" w:customStyle="1" w:styleId="CitaviBibliographySubheading4">
    <w:name w:val="Citavi Bibliography Subheading 4"/>
    <w:basedOn w:val="berschrift5"/>
    <w:link w:val="CitaviBibliographySubheading4Zchn"/>
    <w:rsid w:val="000104D5"/>
    <w:pPr>
      <w:jc w:val="left"/>
      <w:outlineLvl w:val="9"/>
    </w:pPr>
  </w:style>
  <w:style w:type="character" w:customStyle="1" w:styleId="CitaviBibliographySubheading4Zchn">
    <w:name w:val="Citavi Bibliography Subheading 4 Zchn"/>
    <w:basedOn w:val="CETBodytextCarattere"/>
    <w:link w:val="CitaviBibliographySubheading4"/>
    <w:rsid w:val="000104D5"/>
    <w:rPr>
      <w:rFonts w:asciiTheme="majorHAnsi" w:eastAsiaTheme="majorEastAsia" w:hAnsiTheme="majorHAnsi" w:cstheme="majorBidi"/>
      <w:color w:val="243F60" w:themeColor="accent1" w:themeShade="7F"/>
      <w:sz w:val="18"/>
      <w:szCs w:val="20"/>
      <w:lang w:val="en-GB"/>
    </w:rPr>
  </w:style>
  <w:style w:type="paragraph" w:customStyle="1" w:styleId="CitaviBibliographySubheading5">
    <w:name w:val="Citavi Bibliography Subheading 5"/>
    <w:basedOn w:val="berschrift6"/>
    <w:link w:val="CitaviBibliographySubheading5Zchn"/>
    <w:rsid w:val="000104D5"/>
    <w:pPr>
      <w:outlineLvl w:val="9"/>
    </w:pPr>
  </w:style>
  <w:style w:type="character" w:customStyle="1" w:styleId="CitaviBibliographySubheading5Zchn">
    <w:name w:val="Citavi Bibliography Subheading 5 Zchn"/>
    <w:basedOn w:val="CETBodytextCarattere"/>
    <w:link w:val="CitaviBibliographySubheading5"/>
    <w:rsid w:val="000104D5"/>
    <w:rPr>
      <w:rFonts w:asciiTheme="majorHAnsi" w:eastAsiaTheme="majorEastAsia" w:hAnsiTheme="majorHAnsi" w:cstheme="majorBidi"/>
      <w:i/>
      <w:iCs/>
      <w:color w:val="243F60" w:themeColor="accent1" w:themeShade="7F"/>
      <w:sz w:val="18"/>
      <w:szCs w:val="20"/>
      <w:lang w:val="en-GB"/>
    </w:rPr>
  </w:style>
  <w:style w:type="paragraph" w:customStyle="1" w:styleId="CitaviBibliographySubheading6">
    <w:name w:val="Citavi Bibliography Subheading 6"/>
    <w:basedOn w:val="berschrift7"/>
    <w:link w:val="CitaviBibliographySubheading6Zchn"/>
    <w:rsid w:val="000104D5"/>
    <w:pPr>
      <w:outlineLvl w:val="9"/>
    </w:pPr>
  </w:style>
  <w:style w:type="character" w:customStyle="1" w:styleId="CitaviBibliographySubheading6Zchn">
    <w:name w:val="Citavi Bibliography Subheading 6 Zchn"/>
    <w:basedOn w:val="CETBodytextCarattere"/>
    <w:link w:val="CitaviBibliographySubheading6"/>
    <w:rsid w:val="000104D5"/>
    <w:rPr>
      <w:rFonts w:asciiTheme="majorHAnsi" w:eastAsiaTheme="majorEastAsia" w:hAnsiTheme="majorHAnsi" w:cstheme="majorBidi"/>
      <w:i/>
      <w:iCs/>
      <w:color w:val="404040" w:themeColor="text1" w:themeTint="BF"/>
      <w:sz w:val="18"/>
      <w:szCs w:val="20"/>
      <w:lang w:val="en-GB"/>
    </w:rPr>
  </w:style>
  <w:style w:type="paragraph" w:customStyle="1" w:styleId="CitaviBibliographySubheading7">
    <w:name w:val="Citavi Bibliography Subheading 7"/>
    <w:basedOn w:val="berschrift8"/>
    <w:link w:val="CitaviBibliographySubheading7Zchn"/>
    <w:rsid w:val="000104D5"/>
    <w:pPr>
      <w:outlineLvl w:val="9"/>
    </w:pPr>
  </w:style>
  <w:style w:type="character" w:customStyle="1" w:styleId="CitaviBibliographySubheading7Zchn">
    <w:name w:val="Citavi Bibliography Subheading 7 Zchn"/>
    <w:basedOn w:val="CETBodytextCarattere"/>
    <w:link w:val="CitaviBibliographySubheading7"/>
    <w:rsid w:val="000104D5"/>
    <w:rPr>
      <w:rFonts w:asciiTheme="majorHAnsi" w:eastAsiaTheme="majorEastAsia" w:hAnsiTheme="majorHAnsi" w:cstheme="majorBidi"/>
      <w:color w:val="404040" w:themeColor="text1" w:themeTint="BF"/>
      <w:sz w:val="18"/>
      <w:szCs w:val="20"/>
      <w:lang w:val="en-GB"/>
    </w:rPr>
  </w:style>
  <w:style w:type="paragraph" w:customStyle="1" w:styleId="CitaviBibliographySubheading8">
    <w:name w:val="Citavi Bibliography Subheading 8"/>
    <w:basedOn w:val="berschrift9"/>
    <w:link w:val="CitaviBibliographySubheading8Zchn"/>
    <w:rsid w:val="000104D5"/>
    <w:pPr>
      <w:outlineLvl w:val="9"/>
    </w:pPr>
  </w:style>
  <w:style w:type="character" w:customStyle="1" w:styleId="CitaviBibliographySubheading8Zchn">
    <w:name w:val="Citavi Bibliography Subheading 8 Zchn"/>
    <w:basedOn w:val="CETBodytextCarattere"/>
    <w:link w:val="CitaviBibliographySubheading8"/>
    <w:rsid w:val="000104D5"/>
    <w:rPr>
      <w:rFonts w:asciiTheme="majorHAnsi" w:eastAsiaTheme="majorEastAsia" w:hAnsiTheme="majorHAnsi" w:cstheme="majorBidi"/>
      <w:i/>
      <w:iCs/>
      <w:color w:val="404040" w:themeColor="text1" w:themeTint="BF"/>
      <w:sz w:val="18"/>
      <w:szCs w:val="20"/>
      <w:lang w:val="en-GB"/>
    </w:rPr>
  </w:style>
  <w:style w:type="character" w:styleId="Platzhaltertext">
    <w:name w:val="Placeholder Text"/>
    <w:basedOn w:val="Absatz-Standardschriftart"/>
    <w:uiPriority w:val="99"/>
    <w:semiHidden/>
    <w:rsid w:val="00B20458"/>
    <w:rPr>
      <w:color w:val="808080"/>
    </w:rPr>
  </w:style>
  <w:style w:type="paragraph" w:styleId="Zitat">
    <w:name w:val="Quote"/>
    <w:basedOn w:val="Standard"/>
    <w:next w:val="Standard"/>
    <w:link w:val="ZitatZchn"/>
    <w:uiPriority w:val="29"/>
    <w:rsid w:val="009119F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119FC"/>
    <w:rPr>
      <w:rFonts w:ascii="Arial" w:eastAsia="Times New Roman" w:hAnsi="Arial" w:cs="Times New Roman"/>
      <w:i/>
      <w:iCs/>
      <w:color w:val="404040" w:themeColor="text1" w:themeTint="BF"/>
      <w:sz w:val="18"/>
      <w:szCs w:val="20"/>
      <w:lang w:val="en-GB"/>
    </w:rPr>
  </w:style>
  <w:style w:type="paragraph" w:styleId="berarbeitung">
    <w:name w:val="Revision"/>
    <w:hidden/>
    <w:uiPriority w:val="99"/>
    <w:semiHidden/>
    <w:rsid w:val="006E403E"/>
    <w:pPr>
      <w:spacing w:after="0" w:line="240" w:lineRule="auto"/>
    </w:pPr>
    <w:rPr>
      <w:rFonts w:ascii="Arial" w:eastAsia="Times New Roman" w:hAnsi="Arial" w:cs="Times New Roman"/>
      <w:sz w:val="18"/>
      <w:szCs w:val="20"/>
      <w:lang w:val="en-GB"/>
    </w:rPr>
  </w:style>
  <w:style w:type="character" w:styleId="Buchtitel">
    <w:name w:val="Book Title"/>
    <w:basedOn w:val="Absatz-Standardschriftart"/>
    <w:uiPriority w:val="33"/>
    <w:rsid w:val="00640147"/>
    <w:rPr>
      <w:b/>
      <w:bCs/>
      <w:i/>
      <w:iCs/>
      <w:spacing w:val="5"/>
    </w:rPr>
  </w:style>
  <w:style w:type="character" w:styleId="IntensiverVerweis">
    <w:name w:val="Intense Reference"/>
    <w:basedOn w:val="Absatz-Standardschriftart"/>
    <w:uiPriority w:val="32"/>
    <w:rsid w:val="00640147"/>
    <w:rPr>
      <w:b/>
      <w:bCs/>
      <w:smallCaps/>
      <w:color w:val="4F81BD" w:themeColor="accent1"/>
      <w:spacing w:val="5"/>
    </w:rPr>
  </w:style>
  <w:style w:type="character" w:styleId="SchwacherVerweis">
    <w:name w:val="Subtle Reference"/>
    <w:basedOn w:val="Absatz-Standardschriftart"/>
    <w:uiPriority w:val="31"/>
    <w:rsid w:val="00640147"/>
    <w:rPr>
      <w:smallCaps/>
      <w:color w:val="5A5A5A" w:themeColor="text1" w:themeTint="A5"/>
    </w:rPr>
  </w:style>
  <w:style w:type="character" w:styleId="IntensiveHervorhebung">
    <w:name w:val="Intense Emphasis"/>
    <w:basedOn w:val="Absatz-Standardschriftart"/>
    <w:uiPriority w:val="21"/>
    <w:rsid w:val="00640147"/>
    <w:rPr>
      <w:i/>
      <w:iCs/>
      <w:color w:val="4F81BD" w:themeColor="accent1"/>
    </w:rPr>
  </w:style>
  <w:style w:type="character" w:styleId="SchwacheHervorhebung">
    <w:name w:val="Subtle Emphasis"/>
    <w:basedOn w:val="Absatz-Standardschriftart"/>
    <w:uiPriority w:val="19"/>
    <w:rsid w:val="00640147"/>
    <w:rPr>
      <w:i/>
      <w:iCs/>
      <w:color w:val="404040" w:themeColor="text1" w:themeTint="BF"/>
    </w:rPr>
  </w:style>
  <w:style w:type="paragraph" w:styleId="IntensivesZitat">
    <w:name w:val="Intense Quote"/>
    <w:basedOn w:val="Standard"/>
    <w:next w:val="Standard"/>
    <w:link w:val="IntensivesZitatZchn"/>
    <w:uiPriority w:val="30"/>
    <w:rsid w:val="006401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40147"/>
    <w:rPr>
      <w:rFonts w:ascii="Arial" w:eastAsia="Times New Roman" w:hAnsi="Arial" w:cs="Times New Roman"/>
      <w:i/>
      <w:iCs/>
      <w:color w:val="4F81BD" w:themeColor="accent1"/>
      <w:sz w:val="18"/>
      <w:szCs w:val="20"/>
      <w:lang w:val="en-GB"/>
    </w:rPr>
  </w:style>
  <w:style w:type="table" w:styleId="MittlereListe1-Akzent1">
    <w:name w:val="Medium List 1 Accent 1"/>
    <w:basedOn w:val="NormaleTabelle"/>
    <w:uiPriority w:val="65"/>
    <w:semiHidden/>
    <w:unhideWhenUsed/>
    <w:rsid w:val="0064014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6401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64014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6401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6401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64014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6401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64014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64014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64014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6401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6401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64014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6401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64014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6401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64014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64014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64014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64014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640147"/>
    <w:pPr>
      <w:tabs>
        <w:tab w:val="right" w:pos="7100"/>
      </w:tabs>
      <w:spacing w:after="0" w:line="240" w:lineRule="auto"/>
      <w:jc w:val="both"/>
    </w:pPr>
    <w:rPr>
      <w:rFonts w:ascii="Arial" w:eastAsia="Times New Roman" w:hAnsi="Arial" w:cs="Times New Roman"/>
      <w:sz w:val="18"/>
      <w:szCs w:val="20"/>
      <w:lang w:val="en-GB"/>
    </w:rPr>
  </w:style>
  <w:style w:type="character" w:styleId="HTMLVariable">
    <w:name w:val="HTML Variable"/>
    <w:basedOn w:val="Absatz-Standardschriftart"/>
    <w:uiPriority w:val="99"/>
    <w:semiHidden/>
    <w:unhideWhenUsed/>
    <w:rsid w:val="00640147"/>
    <w:rPr>
      <w:i/>
      <w:iCs/>
    </w:rPr>
  </w:style>
  <w:style w:type="character" w:styleId="HTMLSchreibmaschine">
    <w:name w:val="HTML Typewriter"/>
    <w:basedOn w:val="Absatz-Standardschriftart"/>
    <w:uiPriority w:val="99"/>
    <w:semiHidden/>
    <w:unhideWhenUsed/>
    <w:rsid w:val="00640147"/>
    <w:rPr>
      <w:rFonts w:ascii="Consolas" w:hAnsi="Consolas"/>
      <w:sz w:val="20"/>
      <w:szCs w:val="20"/>
    </w:rPr>
  </w:style>
  <w:style w:type="character" w:styleId="HTMLBeispiel">
    <w:name w:val="HTML Sample"/>
    <w:basedOn w:val="Absatz-Standardschriftart"/>
    <w:uiPriority w:val="99"/>
    <w:semiHidden/>
    <w:unhideWhenUsed/>
    <w:rsid w:val="00640147"/>
    <w:rPr>
      <w:rFonts w:ascii="Consolas" w:hAnsi="Consolas"/>
      <w:sz w:val="24"/>
      <w:szCs w:val="24"/>
    </w:rPr>
  </w:style>
  <w:style w:type="character" w:styleId="HTMLTastatur">
    <w:name w:val="HTML Keyboard"/>
    <w:basedOn w:val="Absatz-Standardschriftart"/>
    <w:uiPriority w:val="99"/>
    <w:semiHidden/>
    <w:unhideWhenUsed/>
    <w:rsid w:val="00640147"/>
    <w:rPr>
      <w:rFonts w:ascii="Consolas" w:hAnsi="Consolas"/>
      <w:sz w:val="20"/>
      <w:szCs w:val="20"/>
    </w:rPr>
  </w:style>
  <w:style w:type="character" w:styleId="HTMLDefinition">
    <w:name w:val="HTML Definition"/>
    <w:basedOn w:val="Absatz-Standardschriftart"/>
    <w:uiPriority w:val="99"/>
    <w:semiHidden/>
    <w:unhideWhenUsed/>
    <w:rsid w:val="00640147"/>
    <w:rPr>
      <w:i/>
      <w:iCs/>
    </w:rPr>
  </w:style>
  <w:style w:type="character" w:styleId="HTMLCode">
    <w:name w:val="HTML Code"/>
    <w:basedOn w:val="Absatz-Standardschriftart"/>
    <w:uiPriority w:val="99"/>
    <w:semiHidden/>
    <w:unhideWhenUsed/>
    <w:rsid w:val="00640147"/>
    <w:rPr>
      <w:rFonts w:ascii="Consolas" w:hAnsi="Consolas"/>
      <w:sz w:val="20"/>
      <w:szCs w:val="20"/>
    </w:rPr>
  </w:style>
  <w:style w:type="character" w:styleId="HTMLZitat">
    <w:name w:val="HTML Cite"/>
    <w:basedOn w:val="Absatz-Standardschriftart"/>
    <w:uiPriority w:val="99"/>
    <w:semiHidden/>
    <w:unhideWhenUsed/>
    <w:rsid w:val="00640147"/>
    <w:rPr>
      <w:i/>
      <w:iCs/>
    </w:rPr>
  </w:style>
  <w:style w:type="character" w:styleId="HTMLAkronym">
    <w:name w:val="HTML Acronym"/>
    <w:basedOn w:val="Absatz-Standardschriftart"/>
    <w:uiPriority w:val="99"/>
    <w:semiHidden/>
    <w:unhideWhenUsed/>
    <w:rsid w:val="00640147"/>
  </w:style>
  <w:style w:type="character" w:styleId="Hervorhebung">
    <w:name w:val="Emphasis"/>
    <w:basedOn w:val="Absatz-Standardschriftart"/>
    <w:uiPriority w:val="20"/>
    <w:rsid w:val="00640147"/>
    <w:rPr>
      <w:i/>
      <w:iCs/>
    </w:rPr>
  </w:style>
  <w:style w:type="character" w:styleId="Fett">
    <w:name w:val="Strong"/>
    <w:basedOn w:val="Absatz-Standardschriftart"/>
    <w:uiPriority w:val="22"/>
    <w:rsid w:val="00640147"/>
    <w:rPr>
      <w:b/>
      <w:bCs/>
    </w:rPr>
  </w:style>
  <w:style w:type="character" w:styleId="BesuchterLink">
    <w:name w:val="FollowedHyperlink"/>
    <w:basedOn w:val="Absatz-Standardschriftart"/>
    <w:uiPriority w:val="99"/>
    <w:semiHidden/>
    <w:unhideWhenUsed/>
    <w:rsid w:val="00640147"/>
    <w:rPr>
      <w:color w:val="800080" w:themeColor="followedHyperlink"/>
      <w:u w:val="single"/>
    </w:rPr>
  </w:style>
  <w:style w:type="paragraph" w:styleId="Untertitel">
    <w:name w:val="Subtitle"/>
    <w:basedOn w:val="Standard"/>
    <w:next w:val="Standard"/>
    <w:link w:val="UntertitelZchn"/>
    <w:uiPriority w:val="11"/>
    <w:rsid w:val="006401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640147"/>
    <w:rPr>
      <w:rFonts w:eastAsiaTheme="minorEastAsia"/>
      <w:color w:val="5A5A5A" w:themeColor="text1" w:themeTint="A5"/>
      <w:spacing w:val="15"/>
      <w:lang w:val="en-GB"/>
    </w:rPr>
  </w:style>
  <w:style w:type="paragraph" w:styleId="Titel">
    <w:name w:val="Title"/>
    <w:basedOn w:val="Standard"/>
    <w:next w:val="Standard"/>
    <w:link w:val="TitelZchn"/>
    <w:uiPriority w:val="10"/>
    <w:rsid w:val="0064014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147"/>
    <w:rPr>
      <w:rFonts w:asciiTheme="majorHAnsi" w:eastAsiaTheme="majorEastAsia" w:hAnsiTheme="majorHAnsi" w:cstheme="majorBidi"/>
      <w:spacing w:val="-10"/>
      <w:kern w:val="28"/>
      <w:sz w:val="56"/>
      <w:szCs w:val="56"/>
      <w:lang w:val="en-GB"/>
    </w:rPr>
  </w:style>
  <w:style w:type="character" w:styleId="Endnotenzeichen">
    <w:name w:val="endnote reference"/>
    <w:basedOn w:val="Absatz-Standardschriftart"/>
    <w:uiPriority w:val="99"/>
    <w:semiHidden/>
    <w:unhideWhenUsed/>
    <w:rsid w:val="00640147"/>
    <w:rPr>
      <w:vertAlign w:val="superscript"/>
    </w:rPr>
  </w:style>
  <w:style w:type="character" w:styleId="Seitenzahl">
    <w:name w:val="page number"/>
    <w:basedOn w:val="Absatz-Standardschriftart"/>
    <w:uiPriority w:val="99"/>
    <w:semiHidden/>
    <w:unhideWhenUsed/>
    <w:rsid w:val="00640147"/>
  </w:style>
  <w:style w:type="character" w:styleId="Zeilennummer">
    <w:name w:val="line number"/>
    <w:basedOn w:val="Absatz-Standardschriftart"/>
    <w:uiPriority w:val="99"/>
    <w:semiHidden/>
    <w:unhideWhenUsed/>
    <w:rsid w:val="00640147"/>
  </w:style>
  <w:style w:type="character" w:styleId="Funotenzeichen">
    <w:name w:val="footnote reference"/>
    <w:basedOn w:val="Absatz-Standardschriftart"/>
    <w:uiPriority w:val="99"/>
    <w:semiHidden/>
    <w:unhideWhenUsed/>
    <w:rsid w:val="00640147"/>
    <w:rPr>
      <w:vertAlign w:val="superscript"/>
    </w:rPr>
  </w:style>
  <w:style w:type="paragraph" w:customStyle="1" w:styleId="CitaviChapterBibliographyHeading">
    <w:name w:val="Citavi Chapter Bibliography Heading"/>
    <w:basedOn w:val="berschrift2"/>
    <w:link w:val="CitaviChapterBibliographyHeadingZchn"/>
    <w:uiPriority w:val="99"/>
    <w:rsid w:val="00C01653"/>
    <w:pPr>
      <w:jc w:val="left"/>
    </w:pPr>
  </w:style>
  <w:style w:type="character" w:customStyle="1" w:styleId="CitaviChapterBibliographyHeadingZchn">
    <w:name w:val="Citavi Chapter Bibliography Heading Zchn"/>
    <w:basedOn w:val="CETBodytextCarattere"/>
    <w:link w:val="CitaviChapterBibliographyHeading"/>
    <w:uiPriority w:val="99"/>
    <w:rsid w:val="00C01653"/>
    <w:rPr>
      <w:rFonts w:asciiTheme="majorHAnsi" w:eastAsiaTheme="majorEastAsia" w:hAnsiTheme="majorHAnsi" w:cstheme="majorBidi"/>
      <w:b/>
      <w:bCs/>
      <w:color w:val="4F81BD" w:themeColor="accent1"/>
      <w:sz w:val="26"/>
      <w:szCs w:val="26"/>
      <w:lang w:val="en-GB"/>
    </w:rPr>
  </w:style>
  <w:style w:type="character" w:customStyle="1" w:styleId="anchor-text">
    <w:name w:val="anchor-text"/>
    <w:basedOn w:val="Absatz-Standardschriftart"/>
    <w:rsid w:val="006F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598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lli.sophia.roeder@dbfz.de" TargetMode="External"/><Relationship Id="rId18" Type="http://schemas.openxmlformats.org/officeDocument/2006/relationships/hyperlink" Target="https://doi.org/10.1016/j.biteb.2023.1014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4570749-3D0F-4E49-BE5C-247CC1F2D17F}"/>
      </w:docPartPr>
      <w:docPartBody>
        <w:p w:rsidR="003C0351" w:rsidRDefault="008B26E4">
          <w:r w:rsidRPr="006E12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E4"/>
    <w:rsid w:val="003C0351"/>
    <w:rsid w:val="007214BF"/>
    <w:rsid w:val="008B2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6E4"/>
    <w:rPr>
      <w:color w:val="808080"/>
    </w:rPr>
  </w:style>
  <w:style w:type="paragraph" w:customStyle="1" w:styleId="9059B7F10D6648BBA0C359297272291B">
    <w:name w:val="9059B7F10D6648BBA0C359297272291B"/>
    <w:rsid w:val="008B2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11FEA813A8844196E8A8CC3DB804DE" ma:contentTypeVersion="" ma:contentTypeDescription="Ein neues Dokument erstellen." ma:contentTypeScope="" ma:versionID="dec919ab793aa8a7c00e2df21366a299">
  <xsd:schema xmlns:xsd="http://www.w3.org/2001/XMLSchema" xmlns:xs="http://www.w3.org/2001/XMLSchema" xmlns:p="http://schemas.microsoft.com/office/2006/metadata/properties" xmlns:ns2="b90a40d5-a1e6-4008-9706-45ed09713a03" targetNamespace="http://schemas.microsoft.com/office/2006/metadata/properties" ma:root="true" ma:fieldsID="fcf3e0c07b4cdc93067d3bd22f1e50ab" ns2:_="">
    <xsd:import namespace="b90a40d5-a1e6-4008-9706-45ed09713a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a40d5-a1e6-4008-9706-45ed09713a0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AC69-DFFC-490F-8CAB-B149BBCC6E99}">
  <ds:schemaRefs>
    <ds:schemaRef ds:uri="http://schemas.microsoft.com/sharepoint/v3/contenttype/forms"/>
  </ds:schemaRefs>
</ds:datastoreItem>
</file>

<file path=customXml/itemProps2.xml><?xml version="1.0" encoding="utf-8"?>
<ds:datastoreItem xmlns:ds="http://schemas.openxmlformats.org/officeDocument/2006/customXml" ds:itemID="{6DA16247-2295-4EE8-94C6-47AC345A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a40d5-a1e6-4008-9706-45ed09713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6832E-0735-4B26-B214-662E4182D8D8}">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90a40d5-a1e6-4008-9706-45ed09713a03"/>
    <ds:schemaRef ds:uri="http://schemas.microsoft.com/office/2006/metadata/properties"/>
  </ds:schemaRefs>
</ds:datastoreItem>
</file>

<file path=customXml/itemProps4.xml><?xml version="1.0" encoding="utf-8"?>
<ds:datastoreItem xmlns:ds="http://schemas.openxmlformats.org/officeDocument/2006/customXml" ds:itemID="{0CD91974-CBEE-425F-9B44-87CBB1B0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10010</Words>
  <Characters>63070</Characters>
  <Application>Microsoft Office Word</Application>
  <DocSecurity>0</DocSecurity>
  <Lines>525</Lines>
  <Paragraphs>145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Röder, Lilli Sophia</cp:lastModifiedBy>
  <cp:revision>34</cp:revision>
  <cp:lastPrinted>2015-05-12T18:31:00Z</cp:lastPrinted>
  <dcterms:created xsi:type="dcterms:W3CDTF">2023-05-02T08:09:00Z</dcterms:created>
  <dcterms:modified xsi:type="dcterms:W3CDTF">2023-06-12T08:00:00Z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itaviDocumentProperty_7">
    <vt:lpwstr>Demand Side Managament in Bioraffinerien-Aktueller Stand der Technik</vt:lpwstr>
  </property>
  <property fmtid="{D5CDD505-2E9C-101B-9397-08002B2CF9AE}" pid="5" name="CitaviDocumentProperty_11">
    <vt:lpwstr>Überschrift 1</vt:lpwstr>
  </property>
  <property fmtid="{D5CDD505-2E9C-101B-9397-08002B2CF9AE}" pid="6" name="CitaviDocumentProperty_12">
    <vt:lpwstr>Standard;CET Top_page</vt:lpwstr>
  </property>
  <property fmtid="{D5CDD505-2E9C-101B-9397-08002B2CF9AE}" pid="7" name="CitaviDocumentProperty_16">
    <vt:lpwstr>Untertitel</vt:lpwstr>
  </property>
  <property fmtid="{D5CDD505-2E9C-101B-9397-08002B2CF9AE}" pid="8" name="CitaviDocumentProperty_13">
    <vt:lpwstr>Standard;CET Top_page</vt:lpwstr>
  </property>
  <property fmtid="{D5CDD505-2E9C-101B-9397-08002B2CF9AE}" pid="9" name="CitaviDocumentProperty_15">
    <vt:lpwstr>Standard;CET Top_page</vt:lpwstr>
  </property>
  <property fmtid="{D5CDD505-2E9C-101B-9397-08002B2CF9AE}" pid="10" name="CitaviDocumentProperty_17">
    <vt:lpwstr>Standard;CET Top_page</vt:lpwstr>
  </property>
  <property fmtid="{D5CDD505-2E9C-101B-9397-08002B2CF9AE}" pid="11" name="CitaviDocumentProperty_0">
    <vt:lpwstr>9563ff4a-b601-4e5c-b658-cdca4023c4db</vt:lpwstr>
  </property>
  <property fmtid="{D5CDD505-2E9C-101B-9397-08002B2CF9AE}" pid="12" name="CitaviDocumentProperty_6">
    <vt:lpwstr>True</vt:lpwstr>
  </property>
  <property fmtid="{D5CDD505-2E9C-101B-9397-08002B2CF9AE}" pid="13" name="ContentTypeId">
    <vt:lpwstr>0x010100C111FEA813A8844196E8A8CC3DB804DE</vt:lpwstr>
  </property>
  <property fmtid="{D5CDD505-2E9C-101B-9397-08002B2CF9AE}" pid="14" name="CitaviDocumentProperty_1">
    <vt:lpwstr>6.15.2.0</vt:lpwstr>
  </property>
  <property fmtid="{D5CDD505-2E9C-101B-9397-08002B2CF9AE}" pid="15" name="CitaviDocumentProperty_8">
    <vt:lpwstr>CloudProjectKey=ydwu66zmqszxcknh2c21dislh29umzt2jags5uzacv; ProjectName=Demand Side Managament in Bioraffinerien-Aktueller Stand der Technik</vt:lpwstr>
  </property>
</Properties>
</file>